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0486" w14:textId="68625B39" w:rsidR="00EB09A8" w:rsidRDefault="007D7A3B">
      <w:r>
        <w:t xml:space="preserve">100.0 Acres </w:t>
      </w:r>
    </w:p>
    <w:p w14:paraId="01CAE6FB" w14:textId="302ECF09" w:rsidR="00F30D50" w:rsidRDefault="007D7A3B">
      <w:r>
        <w:t xml:space="preserve">Act fast!   </w:t>
      </w:r>
      <w:r w:rsidR="00F30D50">
        <w:t xml:space="preserve">Hot market and small tracts don’t last long!  </w:t>
      </w:r>
      <w:proofErr w:type="gramStart"/>
      <w:r>
        <w:t>100 acre</w:t>
      </w:r>
      <w:proofErr w:type="gramEnd"/>
      <w:r>
        <w:t xml:space="preserve"> tract of highly productive dryland cultivation west of FM 2407 on CR 124</w:t>
      </w:r>
      <w:r w:rsidR="00D54BB3">
        <w:t xml:space="preserve"> in Haskell County north east of Rule</w:t>
      </w:r>
      <w:r>
        <w:t xml:space="preserve">.  The land sits in an area known for good yields, and is easily accessible.  Water is available on irrigated farm land in the immediate vicinity.  Cotton, Wheat, and UNA Generic bases. </w:t>
      </w:r>
      <w:r w:rsidR="00F30D50">
        <w:t xml:space="preserve"> No minerals available.  Offered at $1195/Acre. </w:t>
      </w:r>
    </w:p>
    <w:p w14:paraId="105DFBBF" w14:textId="5C1622A1" w:rsidR="007D7A3B" w:rsidRDefault="00F30D50">
      <w:r>
        <w:t>Call today!  Rhonda at 940-256-1184</w:t>
      </w:r>
    </w:p>
    <w:sectPr w:rsidR="007D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3B"/>
    <w:rsid w:val="000B38C0"/>
    <w:rsid w:val="000C270D"/>
    <w:rsid w:val="007D7A3B"/>
    <w:rsid w:val="00837DC1"/>
    <w:rsid w:val="00D54BB3"/>
    <w:rsid w:val="00EB09A8"/>
    <w:rsid w:val="00F3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A8BC"/>
  <w15:chartTrackingRefBased/>
  <w15:docId w15:val="{1E7DE472-122E-4A10-A483-72A804D7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Lisle</dc:creator>
  <cp:keywords/>
  <dc:description/>
  <cp:lastModifiedBy>Rhonda Lisle</cp:lastModifiedBy>
  <cp:revision>3</cp:revision>
  <dcterms:created xsi:type="dcterms:W3CDTF">2021-04-08T20:10:00Z</dcterms:created>
  <dcterms:modified xsi:type="dcterms:W3CDTF">2021-04-11T18:20:00Z</dcterms:modified>
</cp:coreProperties>
</file>