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1033" w14:textId="77777777" w:rsidR="005738F3" w:rsidRDefault="00FB3D1E">
      <w:pPr>
        <w:jc w:val="both"/>
      </w:pPr>
      <w:bookmarkStart w:id="0" w:name="Z20000809"/>
      <w:bookmarkEnd w:id="0"/>
      <w:r>
        <w:rPr>
          <w:rFonts w:ascii="Times New Roman" w:eastAsia="Times New Roman" w:hAnsi="Times New Roman" w:cs="Times New Roman"/>
          <w:b/>
          <w:color w:val="000000"/>
          <w:sz w:val="22"/>
        </w:rPr>
        <w:t>Sec. 14.02.406     MU, mixed-use zoning district</w:t>
      </w:r>
    </w:p>
    <w:p w14:paraId="78574DEB" w14:textId="77777777" w:rsidR="005738F3" w:rsidRDefault="00FB3D1E">
      <w:pPr>
        <w:spacing w:before="105" w:after="105"/>
      </w:pPr>
      <w:r>
        <w:rPr>
          <w:rFonts w:ascii="Arial Unicode MS" w:eastAsia="Arial Unicode MS" w:hAnsi="Arial Unicode MS" w:cs="Arial Unicode MS"/>
          <w:color w:val="000000"/>
          <w:sz w:val="24"/>
        </w:rPr>
        <w:t>(a)     </w:t>
      </w:r>
      <w:r>
        <w:rPr>
          <w:rFonts w:ascii="Times New Roman" w:eastAsia="Times New Roman" w:hAnsi="Times New Roman" w:cs="Times New Roman"/>
          <w:color w:val="000000"/>
          <w:sz w:val="24"/>
          <w:u w:val="single"/>
        </w:rPr>
        <w:t>Purpose</w:t>
      </w:r>
      <w:r>
        <w:rPr>
          <w:rFonts w:ascii="Arial Unicode MS" w:eastAsia="Arial Unicode MS" w:hAnsi="Arial Unicode MS" w:cs="Arial Unicode MS"/>
          <w:color w:val="000000"/>
          <w:sz w:val="24"/>
        </w:rPr>
        <w:t xml:space="preserve">. The mixed-use district is established to encourage and promote well-planned, compact, and viable development consisting of an integrated blend of residential, retail, commercial, and </w:t>
      </w:r>
      <w:r>
        <w:rPr>
          <w:rFonts w:ascii="Arial Unicode MS" w:eastAsia="Arial Unicode MS" w:hAnsi="Arial Unicode MS" w:cs="Arial Unicode MS"/>
          <w:color w:val="000000"/>
          <w:sz w:val="24"/>
        </w:rPr>
        <w:t xml:space="preserve">office uses. The proposed uses may </w:t>
      </w:r>
      <w:proofErr w:type="gramStart"/>
      <w:r>
        <w:rPr>
          <w:rFonts w:ascii="Arial Unicode MS" w:eastAsia="Arial Unicode MS" w:hAnsi="Arial Unicode MS" w:cs="Arial Unicode MS"/>
          <w:color w:val="000000"/>
          <w:sz w:val="24"/>
        </w:rPr>
        <w:t>be located in</w:t>
      </w:r>
      <w:proofErr w:type="gramEnd"/>
      <w:r>
        <w:rPr>
          <w:rFonts w:ascii="Arial Unicode MS" w:eastAsia="Arial Unicode MS" w:hAnsi="Arial Unicode MS" w:cs="Arial Unicode MS"/>
          <w:color w:val="000000"/>
          <w:sz w:val="24"/>
        </w:rPr>
        <w:t xml:space="preserve"> a single building (integrated) or in separate buildings (stand-alone). Through the mixing of uses, a more diverse selection of residential, retail, and office space will be provided within the city, and at t</w:t>
      </w:r>
      <w:r>
        <w:rPr>
          <w:rFonts w:ascii="Arial Unicode MS" w:eastAsia="Arial Unicode MS" w:hAnsi="Arial Unicode MS" w:cs="Arial Unicode MS"/>
          <w:color w:val="000000"/>
          <w:sz w:val="24"/>
        </w:rPr>
        <w:t xml:space="preserve">he same time, allowing developers the flexibility to respond to a </w:t>
      </w:r>
      <w:proofErr w:type="gramStart"/>
      <w:r>
        <w:rPr>
          <w:rFonts w:ascii="Arial Unicode MS" w:eastAsia="Arial Unicode MS" w:hAnsi="Arial Unicode MS" w:cs="Arial Unicode MS"/>
          <w:color w:val="000000"/>
          <w:sz w:val="24"/>
        </w:rPr>
        <w:t>changing economic conditions</w:t>
      </w:r>
      <w:proofErr w:type="gramEnd"/>
      <w:r>
        <w:rPr>
          <w:rFonts w:ascii="Arial Unicode MS" w:eastAsia="Arial Unicode MS" w:hAnsi="Arial Unicode MS" w:cs="Arial Unicode MS"/>
          <w:color w:val="000000"/>
          <w:sz w:val="24"/>
        </w:rPr>
        <w:t>. It is expected that mixed-use districts will be developed as planned developments and therefore the development standards may be amended to better suit the spec</w:t>
      </w:r>
      <w:r>
        <w:rPr>
          <w:rFonts w:ascii="Arial Unicode MS" w:eastAsia="Arial Unicode MS" w:hAnsi="Arial Unicode MS" w:cs="Arial Unicode MS"/>
          <w:color w:val="000000"/>
          <w:sz w:val="24"/>
        </w:rPr>
        <w:t>ific site, development attributes, and economic platform at the time of development.</w:t>
      </w:r>
    </w:p>
    <w:p w14:paraId="48551599" w14:textId="77777777" w:rsidR="005738F3" w:rsidRDefault="00FB3D1E">
      <w:pPr>
        <w:spacing w:before="105" w:after="105"/>
      </w:pPr>
      <w:r>
        <w:rPr>
          <w:rFonts w:ascii="Arial Unicode MS" w:eastAsia="Arial Unicode MS" w:hAnsi="Arial Unicode MS" w:cs="Arial Unicode MS"/>
          <w:color w:val="000000"/>
          <w:sz w:val="24"/>
        </w:rPr>
        <w:t>(b)     </w:t>
      </w:r>
      <w:r>
        <w:rPr>
          <w:rFonts w:ascii="Times New Roman" w:eastAsia="Times New Roman" w:hAnsi="Times New Roman" w:cs="Times New Roman"/>
          <w:color w:val="000000"/>
          <w:sz w:val="24"/>
          <w:u w:val="single"/>
        </w:rPr>
        <w:t>General locations</w:t>
      </w:r>
      <w:r>
        <w:rPr>
          <w:rFonts w:ascii="Arial Unicode MS" w:eastAsia="Arial Unicode MS" w:hAnsi="Arial Unicode MS" w:cs="Arial Unicode MS"/>
          <w:color w:val="000000"/>
          <w:sz w:val="24"/>
        </w:rPr>
        <w:t>. Mixed-use developments should encourage efficient land use by facilitating blended vertical and/or horizontal development, with a strong relatio</w:t>
      </w:r>
      <w:r>
        <w:rPr>
          <w:rFonts w:ascii="Arial Unicode MS" w:eastAsia="Arial Unicode MS" w:hAnsi="Arial Unicode MS" w:cs="Arial Unicode MS"/>
          <w:color w:val="000000"/>
          <w:sz w:val="24"/>
        </w:rPr>
        <w:t>nship to the surrounding environment. This type of development shall promote full utilization of public services, whether existing or new, such as water lines, sewers, streets, and emergency services, by centralizing the demands on these services. It is ex</w:t>
      </w:r>
      <w:r>
        <w:rPr>
          <w:rFonts w:ascii="Arial Unicode MS" w:eastAsia="Arial Unicode MS" w:hAnsi="Arial Unicode MS" w:cs="Arial Unicode MS"/>
          <w:color w:val="000000"/>
          <w:sz w:val="24"/>
        </w:rPr>
        <w:t>pected that these districts will have an urban character.</w:t>
      </w:r>
    </w:p>
    <w:p w14:paraId="032A77B6" w14:textId="77777777" w:rsidR="005738F3" w:rsidRDefault="00FB3D1E">
      <w:pPr>
        <w:spacing w:before="105" w:after="105"/>
      </w:pPr>
      <w:r>
        <w:rPr>
          <w:rFonts w:ascii="Arial Unicode MS" w:eastAsia="Arial Unicode MS" w:hAnsi="Arial Unicode MS" w:cs="Arial Unicode MS"/>
          <w:color w:val="000000"/>
          <w:sz w:val="24"/>
        </w:rPr>
        <w:t>(c)     </w:t>
      </w:r>
      <w:r>
        <w:rPr>
          <w:rFonts w:ascii="Times New Roman" w:eastAsia="Times New Roman" w:hAnsi="Times New Roman" w:cs="Times New Roman"/>
          <w:color w:val="000000"/>
          <w:sz w:val="24"/>
          <w:u w:val="single"/>
        </w:rPr>
        <w:t>Height and area regulations</w:t>
      </w:r>
      <w:r>
        <w:rPr>
          <w:rFonts w:ascii="Arial Unicode MS" w:eastAsia="Arial Unicode MS" w:hAnsi="Arial Unicode MS" w:cs="Arial Unicode MS"/>
          <w:color w:val="000000"/>
          <w:sz w:val="24"/>
        </w:rPr>
        <w:t>. The height of buildings, the minimum dimensions of lots and yards, and the minimum lot area permitted on any lot in mixed-use district shall be in keeping with t</w:t>
      </w:r>
      <w:r>
        <w:rPr>
          <w:rFonts w:ascii="Arial Unicode MS" w:eastAsia="Arial Unicode MS" w:hAnsi="Arial Unicode MS" w:cs="Arial Unicode MS"/>
          <w:color w:val="000000"/>
          <w:sz w:val="24"/>
        </w:rPr>
        <w:t>he urban character sought in the development.</w:t>
      </w:r>
    </w:p>
    <w:p w14:paraId="0F3F2E87" w14:textId="77777777" w:rsidR="005738F3" w:rsidRDefault="00FB3D1E">
      <w:pPr>
        <w:spacing w:before="105" w:after="105"/>
      </w:pPr>
      <w:r>
        <w:rPr>
          <w:rFonts w:ascii="Arial Unicode MS" w:eastAsia="Arial Unicode MS" w:hAnsi="Arial Unicode MS" w:cs="Arial Unicode MS"/>
          <w:color w:val="000000"/>
          <w:sz w:val="24"/>
        </w:rPr>
        <w:t>(d)     </w:t>
      </w:r>
      <w:r>
        <w:rPr>
          <w:rFonts w:ascii="Times New Roman" w:eastAsia="Times New Roman" w:hAnsi="Times New Roman" w:cs="Times New Roman"/>
          <w:color w:val="000000"/>
          <w:sz w:val="24"/>
          <w:u w:val="single"/>
        </w:rPr>
        <w:t>Land use mix</w:t>
      </w:r>
      <w:r>
        <w:rPr>
          <w:rFonts w:ascii="Arial Unicode MS" w:eastAsia="Arial Unicode MS" w:hAnsi="Arial Unicode MS" w:cs="Arial Unicode MS"/>
          <w:color w:val="000000"/>
          <w:sz w:val="24"/>
        </w:rPr>
        <w:t>. All MU zoning districts should have a mix of residential and nonresidential uses.</w:t>
      </w:r>
    </w:p>
    <w:p w14:paraId="05E8A75F" w14:textId="77777777" w:rsidR="005738F3" w:rsidRDefault="00FB3D1E">
      <w:pPr>
        <w:spacing w:before="105" w:after="105"/>
      </w:pPr>
      <w:r>
        <w:rPr>
          <w:rFonts w:ascii="Arial Unicode MS" w:eastAsia="Arial Unicode MS" w:hAnsi="Arial Unicode MS" w:cs="Arial Unicode MS"/>
          <w:color w:val="000000"/>
          <w:sz w:val="24"/>
        </w:rPr>
        <w:t>(1)     C, commercial, office, and retail: Minimum of thirty percent (30%).</w:t>
      </w:r>
    </w:p>
    <w:p w14:paraId="4969A614" w14:textId="77777777" w:rsidR="005738F3" w:rsidRDefault="00FB3D1E">
      <w:pPr>
        <w:spacing w:before="105" w:after="105"/>
      </w:pPr>
      <w:r>
        <w:rPr>
          <w:rFonts w:ascii="Arial Unicode MS" w:eastAsia="Arial Unicode MS" w:hAnsi="Arial Unicode MS" w:cs="Arial Unicode MS"/>
          <w:color w:val="000000"/>
          <w:sz w:val="24"/>
        </w:rPr>
        <w:t>(2)     SF-R, single-family de</w:t>
      </w:r>
      <w:r>
        <w:rPr>
          <w:rFonts w:ascii="Arial Unicode MS" w:eastAsia="Arial Unicode MS" w:hAnsi="Arial Unicode MS" w:cs="Arial Unicode MS"/>
          <w:color w:val="000000"/>
          <w:sz w:val="24"/>
        </w:rPr>
        <w:t>tached residential uses: Maximum twenty-five percent (25%).</w:t>
      </w:r>
    </w:p>
    <w:p w14:paraId="75151A70" w14:textId="77777777" w:rsidR="005738F3" w:rsidRDefault="00FB3D1E">
      <w:pPr>
        <w:spacing w:before="105" w:after="105"/>
      </w:pPr>
      <w:r>
        <w:rPr>
          <w:rFonts w:ascii="Arial Unicode MS" w:eastAsia="Arial Unicode MS" w:hAnsi="Arial Unicode MS" w:cs="Arial Unicode MS"/>
          <w:color w:val="000000"/>
          <w:sz w:val="24"/>
        </w:rPr>
        <w:t>(3)     SF-A, single-family attached residential uses: Maximum fifty percent (50%).</w:t>
      </w:r>
    </w:p>
    <w:p w14:paraId="45A43E56" w14:textId="77777777" w:rsidR="005738F3" w:rsidRDefault="00FB3D1E">
      <w:pPr>
        <w:spacing w:before="105" w:after="105"/>
      </w:pPr>
      <w:r>
        <w:rPr>
          <w:rFonts w:ascii="Arial Unicode MS" w:eastAsia="Arial Unicode MS" w:hAnsi="Arial Unicode MS" w:cs="Arial Unicode MS"/>
          <w:color w:val="000000"/>
          <w:sz w:val="24"/>
        </w:rPr>
        <w:t>(4)     MF-1, multifamily garden style: Maximum fifteen percent (15%) and no fewer than fifteen (15) acres (</w:t>
      </w:r>
      <w:proofErr w:type="spellStart"/>
      <w:proofErr w:type="gramStart"/>
      <w:r>
        <w:rPr>
          <w:rFonts w:ascii="Arial Unicode MS" w:eastAsia="Arial Unicode MS" w:hAnsi="Arial Unicode MS" w:cs="Arial Unicode MS"/>
          <w:color w:val="000000"/>
          <w:sz w:val="24"/>
        </w:rPr>
        <w:t>i.e</w:t>
      </w:r>
      <w:proofErr w:type="spellEnd"/>
      <w:r>
        <w:rPr>
          <w:rFonts w:ascii="Arial Unicode MS" w:eastAsia="Arial Unicode MS" w:hAnsi="Arial Unicode MS" w:cs="Arial Unicode MS"/>
          <w:color w:val="000000"/>
          <w:sz w:val="24"/>
        </w:rPr>
        <w:t xml:space="preserve"> </w:t>
      </w:r>
      <w:r>
        <w:rPr>
          <w:rFonts w:ascii="Arial Unicode MS" w:eastAsia="Arial Unicode MS" w:hAnsi="Arial Unicode MS" w:cs="Arial Unicode MS"/>
          <w:color w:val="000000"/>
          <w:sz w:val="24"/>
        </w:rPr>
        <w:t>.</w:t>
      </w:r>
      <w:proofErr w:type="gramEnd"/>
      <w:r>
        <w:rPr>
          <w:rFonts w:ascii="Arial Unicode MS" w:eastAsia="Arial Unicode MS" w:hAnsi="Arial Unicode MS" w:cs="Arial Unicode MS"/>
          <w:color w:val="000000"/>
          <w:sz w:val="24"/>
        </w:rPr>
        <w:t xml:space="preserve"> minimum of 15 acres to qualify).</w:t>
      </w:r>
    </w:p>
    <w:p w14:paraId="48F848A0" w14:textId="77777777" w:rsidR="005738F3" w:rsidRDefault="00FB3D1E">
      <w:pPr>
        <w:spacing w:before="105" w:after="105"/>
      </w:pPr>
      <w:r>
        <w:rPr>
          <w:rFonts w:ascii="Arial Unicode MS" w:eastAsia="Arial Unicode MS" w:hAnsi="Arial Unicode MS" w:cs="Arial Unicode MS"/>
          <w:color w:val="000000"/>
          <w:sz w:val="24"/>
        </w:rPr>
        <w:t>(5)     MF-2, multifamily urban edge: Maximum forty percent (40%).</w:t>
      </w:r>
    </w:p>
    <w:p w14:paraId="780704BA" w14:textId="77777777" w:rsidR="005738F3" w:rsidRDefault="00FB3D1E">
      <w:pPr>
        <w:spacing w:before="105" w:after="105"/>
      </w:pPr>
      <w:r>
        <w:rPr>
          <w:rFonts w:ascii="Arial Unicode MS" w:eastAsia="Arial Unicode MS" w:hAnsi="Arial Unicode MS" w:cs="Arial Unicode MS"/>
          <w:color w:val="000000"/>
          <w:sz w:val="24"/>
        </w:rPr>
        <w:t>(6)     MF-3, multifamily urban living: Maximum sixty percent (60%).</w:t>
      </w:r>
    </w:p>
    <w:sectPr w:rsidR="005738F3">
      <w:pgSz w:w="11910" w:h="16845"/>
      <w:pgMar w:top="432" w:right="432" w:bottom="432" w:left="432" w:header="8" w:footer="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F3"/>
    <w:rsid w:val="005738F3"/>
    <w:rsid w:val="00FB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2216"/>
  <w15:docId w15:val="{4CE53E18-F8D6-407B-A226-0602BD4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Kathy Webster</cp:lastModifiedBy>
  <cp:revision>2</cp:revision>
  <dcterms:created xsi:type="dcterms:W3CDTF">2022-03-04T17:13:00Z</dcterms:created>
  <dcterms:modified xsi:type="dcterms:W3CDTF">2022-03-04T17:13:00Z</dcterms:modified>
</cp:coreProperties>
</file>