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786D" w14:textId="77777777" w:rsidR="00837914" w:rsidRDefault="00D36692">
      <w:pPr>
        <w:pStyle w:val="Heading3"/>
      </w:pPr>
      <w:r>
        <w:t>ARTICLE 5. AG-5 AGRICULTURAL AND RESIDENTIAL</w:t>
      </w:r>
    </w:p>
    <w:p w14:paraId="3300ECE7" w14:textId="77777777" w:rsidR="00837914" w:rsidRDefault="00837914">
      <w:pPr>
        <w:spacing w:before="0" w:after="0"/>
        <w:sectPr w:rsidR="00837914">
          <w:headerReference w:type="default" r:id="rId7"/>
          <w:footerReference w:type="default" r:id="rId8"/>
          <w:type w:val="continuous"/>
          <w:pgSz w:w="12240" w:h="15840"/>
          <w:pgMar w:top="1440" w:right="1440" w:bottom="1440" w:left="1440" w:header="720" w:footer="720" w:gutter="0"/>
          <w:cols w:space="720"/>
        </w:sectPr>
      </w:pPr>
    </w:p>
    <w:p w14:paraId="458D24C5" w14:textId="77777777" w:rsidR="00837914" w:rsidRDefault="00D36692">
      <w:pPr>
        <w:pStyle w:val="Section"/>
      </w:pPr>
      <w:r>
        <w:t>Section 500. Statement of purpose.</w:t>
      </w:r>
    </w:p>
    <w:p w14:paraId="52C88503" w14:textId="77777777" w:rsidR="00837914" w:rsidRDefault="00D36692">
      <w:pPr>
        <w:pStyle w:val="Paragraph1"/>
      </w:pPr>
      <w:r>
        <w:t>The agricultural districts are established as districts in which the principal use of land is for farming</w:t>
      </w:r>
      <w:r>
        <w:t>, dairying, forestry operations and other agricultural activities. For the agricultural districts, in promoting the general purposes of these regulations, the specific intent of this article is to protect land needed and used for agricultural pursuits from</w:t>
      </w:r>
      <w:r>
        <w:t xml:space="preserve"> encroachment by untimely and unplanned residential, commercial, or industrial development, and to allow the continuation of existing agricultural pursuits in areas where, in accordance with the recommendations of the comprehensive plan, future agricultura</w:t>
      </w:r>
      <w:r>
        <w:t xml:space="preserve">l, commercial, industrial, or residential development is anticipated, but where the present application of zoning controls for future more intensive land uses would be unreasonable and premature. </w:t>
      </w:r>
    </w:p>
    <w:p w14:paraId="71A3B00F" w14:textId="77777777" w:rsidR="00837914" w:rsidRDefault="00D36692">
      <w:pPr>
        <w:pStyle w:val="Block1"/>
      </w:pPr>
      <w:r>
        <w:t xml:space="preserve">DEFINITIONS </w:t>
      </w:r>
    </w:p>
    <w:p w14:paraId="2FA625D6" w14:textId="77777777" w:rsidR="00837914" w:rsidRDefault="00D36692">
      <w:pPr>
        <w:pStyle w:val="Paragraph1"/>
      </w:pPr>
      <w:r>
        <w:rPr>
          <w:i/>
        </w:rPr>
        <w:t>Farm:</w:t>
      </w:r>
      <w:r>
        <w:t xml:space="preserve"> A parcel of land five acres or more on which bona fide agricultural and related uses are conducted as specified in "agriculture." </w:t>
      </w:r>
    </w:p>
    <w:p w14:paraId="14065C49" w14:textId="77777777" w:rsidR="00837914" w:rsidRDefault="00D36692">
      <w:pPr>
        <w:pStyle w:val="Paragraph1"/>
      </w:pPr>
      <w:r>
        <w:rPr>
          <w:i/>
        </w:rPr>
        <w:t>Agriculture:</w:t>
      </w:r>
      <w:r>
        <w:t xml:space="preserve"> The production, raising, breeding, or maintenance of plants and animals including, but not limited to: forage a</w:t>
      </w:r>
      <w:r>
        <w:t>nd sod crops; grain and seed crops; dairy animals and dairy products; poultry and poultry products; livestock, including beef, cattle, sheep, swine, horses, or goats, game animals, exotic fish, and any mutations or hybrids thereof, including the breeding a</w:t>
      </w:r>
      <w:r>
        <w:t>nd grazing of any or all such species; bees and apiary products; fur animals; trees and forest products; fruit of all kinds, including grapes, nuts, berries; vegetables, nursery; floral, ornamental and greenhouse products; or land devoted to a soil conserv</w:t>
      </w:r>
      <w:r>
        <w:t xml:space="preserve">ation or forestry management program. This does not include the commercial slaughter of poultry, livestock, or other animals. </w:t>
      </w:r>
    </w:p>
    <w:p w14:paraId="530F1251" w14:textId="77777777" w:rsidR="00837914" w:rsidRDefault="00D36692">
      <w:pPr>
        <w:pStyle w:val="List2"/>
      </w:pPr>
      <w:r>
        <w:t>(1)</w:t>
      </w:r>
      <w:r>
        <w:tab/>
        <w:t>In relation to the treatment of agricultural facilities and operations as nuisances, Georgia law provides in O.C.G.A. § 41-1-</w:t>
      </w:r>
      <w:r>
        <w:t xml:space="preserve">7(a) that "it is the declared policy of the state to conserve, protect, and encourage the development and improvement of its agricultural land and facilities for the production of food and other agricultural products. When nonagricultural land uses extend </w:t>
      </w:r>
      <w:r>
        <w:t>into agricultural areas, agricultural operations often become the subject of nuisance actions. As a result, agricultural facilities are sometimes forced to cease operations. Many others are discouraged from making investments in farm improvements or adopti</w:t>
      </w:r>
      <w:r>
        <w:t xml:space="preserve">ng new technology or methods. It is the purpose of this code section to reduce losses of the state's agricultural resources by limiting the circumstances under which agricultural facilities and operations may be deemed to be a nuisance." </w:t>
      </w:r>
    </w:p>
    <w:p w14:paraId="043E974E" w14:textId="77777777" w:rsidR="00837914" w:rsidRDefault="00D36692">
      <w:pPr>
        <w:pStyle w:val="List2"/>
      </w:pPr>
      <w:r>
        <w:t>(2)</w:t>
      </w:r>
      <w:r>
        <w:tab/>
        <w:t>The Code furt</w:t>
      </w:r>
      <w:r>
        <w:t>her states in O.C.G.A. § 41-1-7(c) that "no agricultural facility or any agricultural operation at an agricultural facility shall be or shall become a nuisance, either public or private, as a result of changed conditions in or around the locality of such a</w:t>
      </w:r>
      <w:r>
        <w:t xml:space="preserve">gricultural facility if the agricultural facility has been in operation for one year or more. The provisions of this subsection shall not apply when a nuisance results from the negligent, improper, or illegal operation of any agricultural facility." </w:t>
      </w:r>
    </w:p>
    <w:p w14:paraId="703F31B2" w14:textId="77777777" w:rsidR="00837914" w:rsidRDefault="00D36692">
      <w:pPr>
        <w:pStyle w:val="List2"/>
      </w:pPr>
      <w:r>
        <w:t>(3)</w:t>
      </w:r>
      <w:r>
        <w:tab/>
        <w:t>T</w:t>
      </w:r>
      <w:r>
        <w:t>he Code further states in O.C.G.A. § 41-1-7(d) that "for the purposes of this code section, the established date of operation is the date on which an agricultural operation commenced operation. If the physical facilities of the agricultural operation are s</w:t>
      </w:r>
      <w:r>
        <w:t xml:space="preserve">ubsequently </w:t>
      </w:r>
      <w:proofErr w:type="gramStart"/>
      <w:r>
        <w:t>expanded</w:t>
      </w:r>
      <w:proofErr w:type="gramEnd"/>
      <w:r>
        <w:t xml:space="preserve"> or new technology adopted, the established date of operation for each change is not a separately and independently established date of operation and the commencement of the expanded operation does not divest the agricultural operation </w:t>
      </w:r>
      <w:r>
        <w:t xml:space="preserve">of a previously established date of operation." </w:t>
      </w:r>
    </w:p>
    <w:p w14:paraId="436279DE" w14:textId="77777777" w:rsidR="00837914" w:rsidRDefault="00D36692">
      <w:pPr>
        <w:pStyle w:val="HistoryNote"/>
      </w:pPr>
      <w:r>
        <w:t>(</w:t>
      </w:r>
      <w:proofErr w:type="spellStart"/>
      <w:r>
        <w:t>Amd</w:t>
      </w:r>
      <w:proofErr w:type="spellEnd"/>
      <w:r>
        <w:t>. of 12-2-08)</w:t>
      </w:r>
    </w:p>
    <w:p w14:paraId="33EA0B65" w14:textId="77777777" w:rsidR="00837914" w:rsidRDefault="00837914">
      <w:pPr>
        <w:spacing w:before="0" w:after="0"/>
        <w:sectPr w:rsidR="00837914">
          <w:headerReference w:type="default" r:id="rId9"/>
          <w:footerReference w:type="default" r:id="rId10"/>
          <w:type w:val="continuous"/>
          <w:pgSz w:w="12240" w:h="15840"/>
          <w:pgMar w:top="1440" w:right="1440" w:bottom="1440" w:left="1440" w:header="720" w:footer="720" w:gutter="0"/>
          <w:cols w:space="720"/>
        </w:sectPr>
      </w:pPr>
    </w:p>
    <w:p w14:paraId="34C4020D" w14:textId="77777777" w:rsidR="00837914" w:rsidRDefault="00D36692">
      <w:pPr>
        <w:pStyle w:val="Section"/>
      </w:pPr>
      <w:r>
        <w:t>Section 501. Purpose.</w:t>
      </w:r>
    </w:p>
    <w:p w14:paraId="5E8F76D3" w14:textId="77777777" w:rsidR="00837914" w:rsidRDefault="00D36692">
      <w:pPr>
        <w:pStyle w:val="Paragraph1"/>
      </w:pPr>
      <w:r>
        <w:t>AG-5 zoning districts are intended to establi</w:t>
      </w:r>
      <w:r>
        <w:t>sh and preserve low-to-medium density areas where agriculture is the primary land use. Residences, which may or may not be incidental to these activities, are also permitted. These districts are free from other uses which are incompatible with low-to-mediu</w:t>
      </w:r>
      <w:r>
        <w:t xml:space="preserve">m density agricultural and residential uses. </w:t>
      </w:r>
    </w:p>
    <w:p w14:paraId="40CE6F25" w14:textId="77777777" w:rsidR="00837914" w:rsidRDefault="00837914">
      <w:pPr>
        <w:spacing w:before="0" w:after="0"/>
        <w:sectPr w:rsidR="00837914">
          <w:headerReference w:type="default" r:id="rId11"/>
          <w:footerReference w:type="default" r:id="rId12"/>
          <w:type w:val="continuous"/>
          <w:pgSz w:w="12240" w:h="15840"/>
          <w:pgMar w:top="1440" w:right="1440" w:bottom="1440" w:left="1440" w:header="720" w:footer="720" w:gutter="0"/>
          <w:cols w:space="720"/>
        </w:sectPr>
      </w:pPr>
    </w:p>
    <w:p w14:paraId="4A8AA6E6" w14:textId="77777777" w:rsidR="00837914" w:rsidRDefault="00D36692">
      <w:pPr>
        <w:pStyle w:val="Section"/>
      </w:pPr>
      <w:r>
        <w:t>Section 502. Boundaries of AG-5 districts.</w:t>
      </w:r>
    </w:p>
    <w:p w14:paraId="443191D5" w14:textId="77777777" w:rsidR="00837914" w:rsidRDefault="00D36692">
      <w:pPr>
        <w:pStyle w:val="Paragraph1"/>
      </w:pPr>
      <w:r>
        <w:t xml:space="preserve">The official map (Section 2301 of this appendix) shows the boundaries of all AG-5 districts within the county. Article 23 also contains additional information concerning interpreting district boundaries, amending boundaries, etc. </w:t>
      </w:r>
    </w:p>
    <w:p w14:paraId="3CB46EC6" w14:textId="77777777" w:rsidR="00837914" w:rsidRDefault="00837914">
      <w:pPr>
        <w:spacing w:before="0" w:after="0"/>
        <w:sectPr w:rsidR="00837914">
          <w:headerReference w:type="default" r:id="rId13"/>
          <w:footerReference w:type="default" r:id="rId14"/>
          <w:type w:val="continuous"/>
          <w:pgSz w:w="12240" w:h="15840"/>
          <w:pgMar w:top="1440" w:right="1440" w:bottom="1440" w:left="1440" w:header="720" w:footer="720" w:gutter="0"/>
          <w:cols w:space="720"/>
        </w:sectPr>
      </w:pPr>
    </w:p>
    <w:p w14:paraId="710A65F6" w14:textId="77777777" w:rsidR="00837914" w:rsidRDefault="00D36692">
      <w:pPr>
        <w:pStyle w:val="Section"/>
      </w:pPr>
      <w:r>
        <w:t>Section 503. Permitted uses.</w:t>
      </w:r>
    </w:p>
    <w:p w14:paraId="36F68BDF" w14:textId="77777777" w:rsidR="00837914" w:rsidRDefault="00D36692">
      <w:pPr>
        <w:pStyle w:val="List1"/>
      </w:pPr>
      <w:r>
        <w:t>(a)</w:t>
      </w:r>
      <w:r>
        <w:tab/>
        <w:t xml:space="preserve">The following principal uses are permitted in AG-5 districts: </w:t>
      </w:r>
    </w:p>
    <w:p w14:paraId="2B60CD71" w14:textId="77777777" w:rsidR="00837914" w:rsidRDefault="00D36692">
      <w:pPr>
        <w:pStyle w:val="List2"/>
      </w:pPr>
      <w:r>
        <w:t>(1)</w:t>
      </w:r>
      <w:r>
        <w:tab/>
      </w:r>
      <w:r>
        <w:t xml:space="preserve">Dwelling, single-family detached with a heated floor area of at least 975 square feet. </w:t>
      </w:r>
    </w:p>
    <w:p w14:paraId="3BB64350" w14:textId="77777777" w:rsidR="00837914" w:rsidRDefault="00D36692">
      <w:pPr>
        <w:pStyle w:val="List2"/>
      </w:pPr>
      <w:r>
        <w:t>(2)</w:t>
      </w:r>
      <w:r>
        <w:tab/>
        <w:t xml:space="preserve">Industrialized building. </w:t>
      </w:r>
    </w:p>
    <w:p w14:paraId="5A41370B" w14:textId="77777777" w:rsidR="00837914" w:rsidRDefault="00D36692">
      <w:pPr>
        <w:pStyle w:val="List2"/>
      </w:pPr>
      <w:r>
        <w:t>(3)</w:t>
      </w:r>
      <w:r>
        <w:tab/>
        <w:t xml:space="preserve">Church. </w:t>
      </w:r>
    </w:p>
    <w:p w14:paraId="12E978D1" w14:textId="77777777" w:rsidR="00837914" w:rsidRDefault="00D36692">
      <w:pPr>
        <w:pStyle w:val="List2"/>
      </w:pPr>
      <w:r>
        <w:t>(4)</w:t>
      </w:r>
      <w:r>
        <w:tab/>
        <w:t xml:space="preserve">Farm. </w:t>
      </w:r>
    </w:p>
    <w:p w14:paraId="21CC98E8" w14:textId="77777777" w:rsidR="00837914" w:rsidRDefault="00D36692">
      <w:pPr>
        <w:pStyle w:val="List2"/>
      </w:pPr>
      <w:r>
        <w:t>(5)</w:t>
      </w:r>
      <w:r>
        <w:tab/>
        <w:t xml:space="preserve">Fruit and vegetable market. </w:t>
      </w:r>
    </w:p>
    <w:p w14:paraId="4112D1DA" w14:textId="77777777" w:rsidR="00837914" w:rsidRDefault="00D36692">
      <w:pPr>
        <w:pStyle w:val="List2"/>
      </w:pPr>
      <w:r>
        <w:t>(6)</w:t>
      </w:r>
      <w:r>
        <w:tab/>
        <w:t xml:space="preserve">Nursery, garden center, and farm supply store. </w:t>
      </w:r>
    </w:p>
    <w:p w14:paraId="0A095C4F" w14:textId="77777777" w:rsidR="00837914" w:rsidRDefault="00D36692">
      <w:pPr>
        <w:pStyle w:val="List2"/>
      </w:pPr>
      <w:r>
        <w:t>(7)</w:t>
      </w:r>
      <w:r>
        <w:tab/>
        <w:t xml:space="preserve">Kennel (commercial). </w:t>
      </w:r>
    </w:p>
    <w:p w14:paraId="2426FA73" w14:textId="77777777" w:rsidR="00837914" w:rsidRDefault="00D36692">
      <w:pPr>
        <w:pStyle w:val="List2"/>
      </w:pPr>
      <w:r>
        <w:t>(8)</w:t>
      </w:r>
      <w:r>
        <w:tab/>
        <w:t xml:space="preserve">Cemetery. </w:t>
      </w:r>
    </w:p>
    <w:p w14:paraId="0662C6A7" w14:textId="77777777" w:rsidR="00837914" w:rsidRDefault="00D36692">
      <w:pPr>
        <w:pStyle w:val="List2"/>
      </w:pPr>
      <w:r>
        <w:t>(9)</w:t>
      </w:r>
      <w:r>
        <w:tab/>
        <w:t xml:space="preserve">School. </w:t>
      </w:r>
    </w:p>
    <w:p w14:paraId="166BA2FA" w14:textId="77777777" w:rsidR="00837914" w:rsidRDefault="00D36692">
      <w:pPr>
        <w:pStyle w:val="List2"/>
      </w:pPr>
      <w:r>
        <w:t>(10)</w:t>
      </w:r>
      <w:r>
        <w:tab/>
        <w:t xml:space="preserve">Government: local, </w:t>
      </w:r>
      <w:proofErr w:type="gramStart"/>
      <w:r>
        <w:t>state</w:t>
      </w:r>
      <w:proofErr w:type="gramEnd"/>
      <w:r>
        <w:t xml:space="preserve"> or federal. </w:t>
      </w:r>
    </w:p>
    <w:p w14:paraId="3A580E0A" w14:textId="77777777" w:rsidR="00837914" w:rsidRDefault="00D36692">
      <w:pPr>
        <w:pStyle w:val="List2"/>
      </w:pPr>
      <w:r>
        <w:t>(11)</w:t>
      </w:r>
      <w:r>
        <w:tab/>
        <w:t xml:space="preserve">Utility substations. </w:t>
      </w:r>
    </w:p>
    <w:p w14:paraId="5F1F5878" w14:textId="77777777" w:rsidR="00837914" w:rsidRDefault="00D36692">
      <w:pPr>
        <w:pStyle w:val="List2"/>
      </w:pPr>
      <w:r>
        <w:t>(12)</w:t>
      </w:r>
      <w:r>
        <w:tab/>
        <w:t xml:space="preserve">Manufactured home. </w:t>
      </w:r>
    </w:p>
    <w:p w14:paraId="5091CE55" w14:textId="77777777" w:rsidR="00837914" w:rsidRDefault="00D36692">
      <w:pPr>
        <w:pStyle w:val="List2"/>
      </w:pPr>
      <w:r>
        <w:t>(13)</w:t>
      </w:r>
      <w:r>
        <w:tab/>
        <w:t xml:space="preserve">Recreational facility (private). </w:t>
      </w:r>
    </w:p>
    <w:p w14:paraId="04A56B73" w14:textId="77777777" w:rsidR="00837914" w:rsidRDefault="00D36692">
      <w:pPr>
        <w:pStyle w:val="List2"/>
      </w:pPr>
      <w:r>
        <w:t>(14)</w:t>
      </w:r>
      <w:r>
        <w:tab/>
      </w:r>
      <w:r>
        <w:t>Single-family dwellings by farm owner, agricultural or seasonal workers and related to the agricultural operation of the farm on which it is situated and intended for the temporary or seasonal housing of farm workers. These shall be allowed at one manufact</w:t>
      </w:r>
      <w:r>
        <w:t>ured home per five acres. However, no manufactured home shall be placed closer than 200 feet to another manufactured home. The planning and zoning commission shall be granted the power to allow a greater number/density of manufactured homes where it is dee</w:t>
      </w:r>
      <w:r>
        <w:t xml:space="preserve">med warranted by unique agricultural needs. Must comply to D.O.L. standards for housing. </w:t>
      </w:r>
    </w:p>
    <w:p w14:paraId="5917C2B7" w14:textId="77777777" w:rsidR="00837914" w:rsidRDefault="00D36692">
      <w:pPr>
        <w:pStyle w:val="List2"/>
      </w:pPr>
      <w:r>
        <w:t>(15)</w:t>
      </w:r>
      <w:r>
        <w:tab/>
        <w:t xml:space="preserve">A landowner may deed to a family member a minimum of one acre from the previously recorded parcel for the construction or placement of a single-family dwelling, </w:t>
      </w:r>
      <w:r>
        <w:t xml:space="preserve">provided a minimum of one acre remain in the original parcel of land. This provision shall be allowed one time per eligible family member. For purposes of this provision, the term "family member" means a child, grandchild, parent, grandparent, </w:t>
      </w:r>
      <w:proofErr w:type="gramStart"/>
      <w:r>
        <w:t>sibling</w:t>
      </w:r>
      <w:proofErr w:type="gramEnd"/>
      <w:r>
        <w:t xml:space="preserve"> or s</w:t>
      </w:r>
      <w:r>
        <w:t>tepchild. A single-family dwelling on a lot deeded under this provision shall be required to meet the minimum setback requirements of the R-80 zoning district as set forth in section 606 of this chapter. This provision shall not apply if the lot being deed</w:t>
      </w:r>
      <w:r>
        <w:t xml:space="preserve">ed to the family member is five acres or greater in area. </w:t>
      </w:r>
    </w:p>
    <w:p w14:paraId="7F95B933" w14:textId="77777777" w:rsidR="00837914" w:rsidRDefault="00D36692">
      <w:pPr>
        <w:pStyle w:val="List1"/>
      </w:pPr>
      <w:r>
        <w:t>(b)</w:t>
      </w:r>
      <w:r>
        <w:tab/>
        <w:t xml:space="preserve">Conditional uses (AG-5): The following conditional uses shall be permitted in this district upon approval by the board of commissioners pursuant to section 413: </w:t>
      </w:r>
    </w:p>
    <w:p w14:paraId="2DEEC7C0" w14:textId="77777777" w:rsidR="00837914" w:rsidRDefault="00D36692">
      <w:pPr>
        <w:pStyle w:val="List2"/>
      </w:pPr>
      <w:r>
        <w:t>(1)</w:t>
      </w:r>
      <w:r>
        <w:tab/>
        <w:t xml:space="preserve">Farm supply store. </w:t>
      </w:r>
    </w:p>
    <w:p w14:paraId="3C71CBB8" w14:textId="77777777" w:rsidR="00837914" w:rsidRDefault="00D36692">
      <w:pPr>
        <w:pStyle w:val="List2"/>
      </w:pPr>
      <w:r>
        <w:t>(2)</w:t>
      </w:r>
      <w:r>
        <w:tab/>
        <w:t>Per</w:t>
      </w:r>
      <w:r>
        <w:t xml:space="preserve">sonal care home: Family personal care home or group personal care home. </w:t>
      </w:r>
    </w:p>
    <w:p w14:paraId="74A129CF" w14:textId="77777777" w:rsidR="00837914" w:rsidRDefault="00D36692">
      <w:pPr>
        <w:pStyle w:val="List2"/>
      </w:pPr>
      <w:r>
        <w:t>(3)</w:t>
      </w:r>
      <w:r>
        <w:tab/>
        <w:t xml:space="preserve">Recreation facility (commercial). </w:t>
      </w:r>
    </w:p>
    <w:p w14:paraId="65CDCD7A" w14:textId="77777777" w:rsidR="00837914" w:rsidRDefault="00D36692">
      <w:pPr>
        <w:pStyle w:val="List2"/>
      </w:pPr>
      <w:r>
        <w:t>(4)</w:t>
      </w:r>
      <w:r>
        <w:tab/>
        <w:t xml:space="preserve">Airport or airstrip (public, private, commercial). </w:t>
      </w:r>
    </w:p>
    <w:p w14:paraId="2350B516" w14:textId="77777777" w:rsidR="00837914" w:rsidRDefault="00D36692">
      <w:pPr>
        <w:pStyle w:val="List2"/>
      </w:pPr>
      <w:r>
        <w:t>(5)</w:t>
      </w:r>
      <w:r>
        <w:tab/>
        <w:t xml:space="preserve">Facilities to host private and public functions. </w:t>
      </w:r>
    </w:p>
    <w:p w14:paraId="6A3FD8D1" w14:textId="77777777" w:rsidR="00837914" w:rsidRDefault="00D36692">
      <w:pPr>
        <w:pStyle w:val="List2"/>
      </w:pPr>
      <w:r>
        <w:t>(6)</w:t>
      </w:r>
      <w:r>
        <w:tab/>
        <w:t xml:space="preserve">Day care facility. </w:t>
      </w:r>
    </w:p>
    <w:p w14:paraId="2E6DC33C" w14:textId="77777777" w:rsidR="00837914" w:rsidRDefault="00D36692">
      <w:pPr>
        <w:pStyle w:val="List2"/>
      </w:pPr>
      <w:r>
        <w:t>(7)</w:t>
      </w:r>
      <w:r>
        <w:tab/>
        <w:t>Golf c</w:t>
      </w:r>
      <w:r>
        <w:t xml:space="preserve">ourse, tennis court and country club. </w:t>
      </w:r>
    </w:p>
    <w:p w14:paraId="43E7B18F" w14:textId="77777777" w:rsidR="00837914" w:rsidRDefault="00D36692">
      <w:pPr>
        <w:pStyle w:val="List2"/>
      </w:pPr>
      <w:r>
        <w:t>(8)</w:t>
      </w:r>
      <w:r>
        <w:tab/>
        <w:t xml:space="preserve">Machine shop. </w:t>
      </w:r>
    </w:p>
    <w:p w14:paraId="2A938FD8" w14:textId="77777777" w:rsidR="00837914" w:rsidRDefault="00D36692">
      <w:pPr>
        <w:pStyle w:val="List2"/>
      </w:pPr>
      <w:r>
        <w:t>(9)</w:t>
      </w:r>
      <w:r>
        <w:tab/>
        <w:t xml:space="preserve">Farm winery. </w:t>
      </w:r>
    </w:p>
    <w:p w14:paraId="7A022396" w14:textId="77777777" w:rsidR="00837914" w:rsidRDefault="00D36692">
      <w:pPr>
        <w:pStyle w:val="List2"/>
      </w:pPr>
      <w:r>
        <w:t>(10)</w:t>
      </w:r>
      <w:r>
        <w:tab/>
        <w:t xml:space="preserve">Bed and breakfast inn. </w:t>
      </w:r>
    </w:p>
    <w:p w14:paraId="3F1C34B1" w14:textId="77777777" w:rsidR="00837914" w:rsidRDefault="00D36692">
      <w:pPr>
        <w:pStyle w:val="List2"/>
      </w:pPr>
      <w:r>
        <w:t>(11)</w:t>
      </w:r>
      <w:r>
        <w:tab/>
        <w:t xml:space="preserve">Civic and social organization. </w:t>
      </w:r>
    </w:p>
    <w:p w14:paraId="381E463D" w14:textId="77777777" w:rsidR="00837914" w:rsidRDefault="00D36692">
      <w:pPr>
        <w:pStyle w:val="List2"/>
      </w:pPr>
      <w:r>
        <w:t>(12)</w:t>
      </w:r>
      <w:r>
        <w:tab/>
        <w:t xml:space="preserve">Solid waste landfill. </w:t>
      </w:r>
    </w:p>
    <w:p w14:paraId="7C796720" w14:textId="77777777" w:rsidR="00837914" w:rsidRDefault="00D36692">
      <w:pPr>
        <w:pStyle w:val="List2"/>
      </w:pPr>
      <w:r>
        <w:t>(13)</w:t>
      </w:r>
      <w:r>
        <w:tab/>
        <w:t xml:space="preserve">Natural resource development. </w:t>
      </w:r>
    </w:p>
    <w:p w14:paraId="58763614" w14:textId="77777777" w:rsidR="00837914" w:rsidRDefault="00D36692">
      <w:pPr>
        <w:pStyle w:val="List2"/>
      </w:pPr>
      <w:r>
        <w:t>(14)</w:t>
      </w:r>
      <w:r>
        <w:tab/>
        <w:t>Manufactured homes, mobile offices, recreatio</w:t>
      </w:r>
      <w:r>
        <w:t xml:space="preserve">nal vehicles or camping trailers shall be allowed as temporary occupancy units during the construction of a principal residential use subject to the following requirements: </w:t>
      </w:r>
    </w:p>
    <w:p w14:paraId="4A05760E" w14:textId="77777777" w:rsidR="00837914" w:rsidRDefault="00D36692">
      <w:pPr>
        <w:pStyle w:val="List3"/>
      </w:pPr>
      <w:r>
        <w:t>a.</w:t>
      </w:r>
      <w:r>
        <w:tab/>
        <w:t>There shall be an additional permit required for placement of a temporary occup</w:t>
      </w:r>
      <w:r>
        <w:t>ancy unit with a fee as prescribed in the county's schedule of fees. Subject to any other conditions of expiration herein, a temporary occupancy permit shall be valid for one year. The zoning administrator may grant a one-year extension of the permit if, i</w:t>
      </w:r>
      <w:r>
        <w:t xml:space="preserve">n the zoning administrator's opinion, the permittee has made a good-faith effort to construct the principal residential use. </w:t>
      </w:r>
    </w:p>
    <w:p w14:paraId="4E8EDA4A" w14:textId="77777777" w:rsidR="00837914" w:rsidRDefault="00D36692">
      <w:pPr>
        <w:pStyle w:val="List3"/>
      </w:pPr>
      <w:r>
        <w:t>b.</w:t>
      </w:r>
      <w:r>
        <w:tab/>
        <w:t>If a valid building permit for a dwelling serving as a principal use on the subject lot, parcel or tract is not maintained, the</w:t>
      </w:r>
      <w:r>
        <w:t xml:space="preserve"> temporary permit shall become void on the day the building permit lapses. </w:t>
      </w:r>
    </w:p>
    <w:p w14:paraId="5959359A" w14:textId="77777777" w:rsidR="00837914" w:rsidRDefault="00D36692">
      <w:pPr>
        <w:pStyle w:val="List3"/>
      </w:pPr>
      <w:r>
        <w:t>c.</w:t>
      </w:r>
      <w:r>
        <w:tab/>
        <w:t xml:space="preserve">No more than one temporary occupancy unit may be occupied per parcel. </w:t>
      </w:r>
    </w:p>
    <w:p w14:paraId="4E6A444A" w14:textId="77777777" w:rsidR="00837914" w:rsidRDefault="00D36692">
      <w:pPr>
        <w:pStyle w:val="List3"/>
      </w:pPr>
      <w:r>
        <w:t>d.</w:t>
      </w:r>
      <w:r>
        <w:tab/>
        <w:t>The temporary occupancy unit may be occupied either by the permanent occupants of the principal use und</w:t>
      </w:r>
      <w:r>
        <w:t xml:space="preserve">er construction, or any work crew employed by the owner-occupant(s) whose purpose is for the construction of the principal use of the subject lot, </w:t>
      </w:r>
      <w:proofErr w:type="gramStart"/>
      <w:r>
        <w:t>parcel</w:t>
      </w:r>
      <w:proofErr w:type="gramEnd"/>
      <w:r>
        <w:t xml:space="preserve"> or tract. At no time shall any temporary occupancy unit be leased or rented for other residential or o</w:t>
      </w:r>
      <w:r>
        <w:t xml:space="preserve">ccupancy purposes. </w:t>
      </w:r>
    </w:p>
    <w:p w14:paraId="5DCAA193" w14:textId="77777777" w:rsidR="00837914" w:rsidRDefault="00D36692">
      <w:pPr>
        <w:pStyle w:val="List3"/>
      </w:pPr>
      <w:r>
        <w:t>e.</w:t>
      </w:r>
      <w:r>
        <w:tab/>
        <w:t xml:space="preserve">The temporary occupancy unit must be removed no later than 30 days after receiving an approved certificate of occupancy for the principal residential </w:t>
      </w:r>
      <w:proofErr w:type="gramStart"/>
      <w:r>
        <w:t>structure, unless</w:t>
      </w:r>
      <w:proofErr w:type="gramEnd"/>
      <w:r>
        <w:t xml:space="preserve"> such unit is for the recreational use of the owner-occupant of th</w:t>
      </w:r>
      <w:r>
        <w:t xml:space="preserve">e principal structure. </w:t>
      </w:r>
    </w:p>
    <w:p w14:paraId="41A56450" w14:textId="77777777" w:rsidR="00837914" w:rsidRDefault="00D36692">
      <w:pPr>
        <w:pStyle w:val="List3"/>
      </w:pPr>
      <w:r>
        <w:t>f.</w:t>
      </w:r>
      <w:r>
        <w:tab/>
        <w:t xml:space="preserve">The temporary occupancy unit shall comply with all other applicable requirements of the zoning ordinance, including, but not limited to, setback and height requirements. </w:t>
      </w:r>
    </w:p>
    <w:p w14:paraId="010617B9" w14:textId="77777777" w:rsidR="00837914" w:rsidRDefault="00D36692">
      <w:pPr>
        <w:pStyle w:val="List3"/>
      </w:pPr>
      <w:r>
        <w:t>g.</w:t>
      </w:r>
      <w:r>
        <w:tab/>
        <w:t xml:space="preserve">All recreational vehicles and camper trailers shall be </w:t>
      </w:r>
      <w:r>
        <w:t xml:space="preserve">built to American National Standards Institute Code (ANSI). </w:t>
      </w:r>
    </w:p>
    <w:p w14:paraId="61C8D2B2" w14:textId="77777777" w:rsidR="00837914" w:rsidRDefault="00D36692">
      <w:pPr>
        <w:pStyle w:val="List3"/>
      </w:pPr>
      <w:r>
        <w:t>h.</w:t>
      </w:r>
      <w:r>
        <w:tab/>
      </w:r>
      <w:r>
        <w:t xml:space="preserve">If the temporary occupancy unit has restroom facilities that are used, the temporary occupancy unit must be attached to an on-site sewage disposal system (septic tank) approved by the county health department. </w:t>
      </w:r>
    </w:p>
    <w:p w14:paraId="7047E33C" w14:textId="77777777" w:rsidR="00837914" w:rsidRDefault="00D36692">
      <w:pPr>
        <w:pStyle w:val="List3"/>
      </w:pPr>
      <w:proofErr w:type="spellStart"/>
      <w:r>
        <w:t>i</w:t>
      </w:r>
      <w:proofErr w:type="spellEnd"/>
      <w:r>
        <w:t>.</w:t>
      </w:r>
      <w:r>
        <w:tab/>
        <w:t>Heating systems shall be maintained in acc</w:t>
      </w:r>
      <w:r>
        <w:t xml:space="preserve">ordance with the manufacturer's requirements. Any additional or new solid or liquid fuel-burning appliances to be used in a recreational vehicle or camping trailer shall be installed, </w:t>
      </w:r>
      <w:proofErr w:type="gramStart"/>
      <w:r>
        <w:t>used</w:t>
      </w:r>
      <w:proofErr w:type="gramEnd"/>
      <w:r>
        <w:t xml:space="preserve"> and maintained in accordance with the listing for the appliance and</w:t>
      </w:r>
      <w:r>
        <w:t xml:space="preserve"> the manufacturer's requirements, including provisions allowing their use in recreational vehicles. </w:t>
      </w:r>
    </w:p>
    <w:p w14:paraId="10E561AC" w14:textId="77777777" w:rsidR="00837914" w:rsidRDefault="00D36692">
      <w:pPr>
        <w:pStyle w:val="List3"/>
      </w:pPr>
      <w:r>
        <w:t>j.</w:t>
      </w:r>
      <w:r>
        <w:tab/>
        <w:t xml:space="preserve">LP-gas storage and delivery system shall be maintained in accordance with the manufacturer's requirements. In lieu of complying with the manufacturer's </w:t>
      </w:r>
      <w:r>
        <w:t xml:space="preserve">requirements, additional storage of LP-gas is permitted provided the storage and delivery systems comply with the current editions of the Uniform Fire, Building and Mechanical Codes. </w:t>
      </w:r>
    </w:p>
    <w:p w14:paraId="4AE0B41D" w14:textId="77777777" w:rsidR="00837914" w:rsidRDefault="00D36692">
      <w:pPr>
        <w:pStyle w:val="List3"/>
      </w:pPr>
      <w:r>
        <w:t>k.</w:t>
      </w:r>
      <w:r>
        <w:tab/>
        <w:t>The recreational vehicle and camper trailers shall be set up in compl</w:t>
      </w:r>
      <w:r>
        <w:t xml:space="preserve">iance with the manufacturer's minimum specifications and shall remain mobile. No ancillary structures may be permitted with regard thereto for the temporary occupancies provided for herein. </w:t>
      </w:r>
    </w:p>
    <w:p w14:paraId="296A91F5" w14:textId="77777777" w:rsidR="00837914" w:rsidRDefault="00D36692">
      <w:pPr>
        <w:pStyle w:val="List3"/>
      </w:pPr>
      <w:r>
        <w:t>l.</w:t>
      </w:r>
      <w:r>
        <w:tab/>
        <w:t>The application for the placement and use of a manufactured ho</w:t>
      </w:r>
      <w:r>
        <w:t xml:space="preserve">me or mobile office for the purpose(s) herein may require the applicant to post a bond in the form of government surety, </w:t>
      </w:r>
      <w:proofErr w:type="gramStart"/>
      <w:r>
        <w:t>cash</w:t>
      </w:r>
      <w:proofErr w:type="gramEnd"/>
      <w:r>
        <w:t xml:space="preserve"> or irrevocable letter of credit in the amount not to exceed $3,000.00 per unit to ensure the removal of the temporary occupancy un</w:t>
      </w:r>
      <w:r>
        <w:t xml:space="preserve">it within the specified timeframe. </w:t>
      </w:r>
    </w:p>
    <w:p w14:paraId="786E1A2D" w14:textId="77777777" w:rsidR="00837914" w:rsidRDefault="00D36692">
      <w:pPr>
        <w:pStyle w:val="List3"/>
      </w:pPr>
      <w:r>
        <w:t>m.</w:t>
      </w:r>
      <w:r>
        <w:tab/>
        <w:t>Upon request of a county code enforcement officer investigating any complaint, satisfactory evidence shall be presented of continuing compliance with the applicable standards for temporary occupancy or the occupancy s</w:t>
      </w:r>
      <w:r>
        <w:t xml:space="preserve">hall cease. </w:t>
      </w:r>
    </w:p>
    <w:p w14:paraId="32EF16B3" w14:textId="77777777" w:rsidR="00837914" w:rsidRDefault="00D36692">
      <w:pPr>
        <w:pStyle w:val="List2"/>
      </w:pPr>
      <w:r>
        <w:t>(15)</w:t>
      </w:r>
      <w:r>
        <w:tab/>
        <w:t xml:space="preserve">Tower. </w:t>
      </w:r>
    </w:p>
    <w:p w14:paraId="1946AFAA" w14:textId="77777777" w:rsidR="00837914" w:rsidRDefault="00D36692">
      <w:pPr>
        <w:pStyle w:val="List2"/>
      </w:pPr>
      <w:r>
        <w:t>(16)</w:t>
      </w:r>
      <w:r>
        <w:tab/>
        <w:t xml:space="preserve">Solar electric power generation. </w:t>
      </w:r>
    </w:p>
    <w:p w14:paraId="47CDD00B" w14:textId="77777777" w:rsidR="00837914" w:rsidRDefault="00D36692">
      <w:pPr>
        <w:pStyle w:val="List2"/>
      </w:pPr>
      <w:r>
        <w:t>(17)</w:t>
      </w:r>
      <w:r>
        <w:tab/>
        <w:t xml:space="preserve">Boarding house. </w:t>
      </w:r>
    </w:p>
    <w:p w14:paraId="3DB3142E" w14:textId="77777777" w:rsidR="00837914" w:rsidRDefault="00D36692">
      <w:pPr>
        <w:pStyle w:val="List1"/>
      </w:pPr>
      <w:r>
        <w:t>(c)</w:t>
      </w:r>
      <w:r>
        <w:tab/>
        <w:t xml:space="preserve">The following accessory uses are permitted in AG-5 districts: </w:t>
      </w:r>
    </w:p>
    <w:p w14:paraId="1A1A0EEA" w14:textId="77777777" w:rsidR="00837914" w:rsidRDefault="00D36692">
      <w:pPr>
        <w:pStyle w:val="List2"/>
      </w:pPr>
      <w:r>
        <w:t>(1)</w:t>
      </w:r>
      <w:r>
        <w:tab/>
        <w:t xml:space="preserve">Garage or carport, private. </w:t>
      </w:r>
    </w:p>
    <w:p w14:paraId="74BAF78E" w14:textId="77777777" w:rsidR="00837914" w:rsidRDefault="00D36692">
      <w:pPr>
        <w:pStyle w:val="List2"/>
      </w:pPr>
      <w:r>
        <w:t>(2)</w:t>
      </w:r>
      <w:r>
        <w:tab/>
        <w:t xml:space="preserve">ISO intermodal steel container. </w:t>
      </w:r>
    </w:p>
    <w:p w14:paraId="43B7E68A" w14:textId="77777777" w:rsidR="00837914" w:rsidRDefault="00D36692">
      <w:pPr>
        <w:pStyle w:val="List2"/>
      </w:pPr>
      <w:r>
        <w:t>(3)</w:t>
      </w:r>
      <w:r>
        <w:tab/>
        <w:t xml:space="preserve">Children's playhouse. </w:t>
      </w:r>
    </w:p>
    <w:p w14:paraId="011421F7" w14:textId="77777777" w:rsidR="00837914" w:rsidRDefault="00D36692">
      <w:pPr>
        <w:pStyle w:val="List2"/>
      </w:pPr>
      <w:r>
        <w:t>(4)</w:t>
      </w:r>
      <w:r>
        <w:tab/>
      </w:r>
      <w:r>
        <w:t xml:space="preserve">Swimming pool, bath house or cabana (private). </w:t>
      </w:r>
    </w:p>
    <w:p w14:paraId="7C67AE6F" w14:textId="77777777" w:rsidR="00837914" w:rsidRDefault="00D36692">
      <w:pPr>
        <w:pStyle w:val="List2"/>
      </w:pPr>
      <w:r>
        <w:t>(5)</w:t>
      </w:r>
      <w:r>
        <w:tab/>
        <w:t xml:space="preserve">Tennis court and/or basketball facilities (private). </w:t>
      </w:r>
    </w:p>
    <w:p w14:paraId="309BD0E3" w14:textId="77777777" w:rsidR="00837914" w:rsidRDefault="00D36692">
      <w:pPr>
        <w:pStyle w:val="List2"/>
      </w:pPr>
      <w:r>
        <w:t>(6)</w:t>
      </w:r>
      <w:r>
        <w:tab/>
        <w:t xml:space="preserve">Garden (noncommercial). </w:t>
      </w:r>
    </w:p>
    <w:p w14:paraId="64A95D85" w14:textId="77777777" w:rsidR="00837914" w:rsidRDefault="00D36692">
      <w:pPr>
        <w:pStyle w:val="List2"/>
      </w:pPr>
      <w:r>
        <w:t>(7)</w:t>
      </w:r>
      <w:r>
        <w:tab/>
        <w:t xml:space="preserve">Deck, patio, barbecue grill, or other such facility. </w:t>
      </w:r>
    </w:p>
    <w:p w14:paraId="507594FA" w14:textId="77777777" w:rsidR="00837914" w:rsidRDefault="00D36692">
      <w:pPr>
        <w:pStyle w:val="List2"/>
      </w:pPr>
      <w:r>
        <w:t>(8)</w:t>
      </w:r>
      <w:r>
        <w:tab/>
        <w:t>Fence, wall, exterior lighting fixture, or other general la</w:t>
      </w:r>
      <w:r>
        <w:t xml:space="preserve">ndscaping and site development facility. </w:t>
      </w:r>
    </w:p>
    <w:p w14:paraId="49E1169B" w14:textId="77777777" w:rsidR="00837914" w:rsidRDefault="00D36692">
      <w:pPr>
        <w:pStyle w:val="List2"/>
      </w:pPr>
      <w:r>
        <w:t>(9)</w:t>
      </w:r>
      <w:r>
        <w:tab/>
        <w:t xml:space="preserve">Antenna (noncommercial). </w:t>
      </w:r>
    </w:p>
    <w:p w14:paraId="5B2D25B4" w14:textId="77777777" w:rsidR="00837914" w:rsidRDefault="00D36692">
      <w:pPr>
        <w:pStyle w:val="List2"/>
      </w:pPr>
      <w:r>
        <w:t>(10)</w:t>
      </w:r>
      <w:r>
        <w:tab/>
        <w:t xml:space="preserve">Temporary building for storage of materials. </w:t>
      </w:r>
    </w:p>
    <w:p w14:paraId="6E0C4BB8" w14:textId="77777777" w:rsidR="00837914" w:rsidRDefault="00D36692">
      <w:pPr>
        <w:pStyle w:val="List2"/>
      </w:pPr>
      <w:r>
        <w:t>(11)</w:t>
      </w:r>
      <w:r>
        <w:tab/>
        <w:t xml:space="preserve">Roadside stand. </w:t>
      </w:r>
    </w:p>
    <w:p w14:paraId="68C1D02C" w14:textId="77777777" w:rsidR="00837914" w:rsidRDefault="00D36692">
      <w:pPr>
        <w:pStyle w:val="List2"/>
      </w:pPr>
      <w:r>
        <w:t>(12)</w:t>
      </w:r>
      <w:r>
        <w:tab/>
        <w:t xml:space="preserve">Home occupation. </w:t>
      </w:r>
    </w:p>
    <w:p w14:paraId="6E5C0B69" w14:textId="77777777" w:rsidR="00837914" w:rsidRDefault="00D36692">
      <w:pPr>
        <w:pStyle w:val="List2"/>
      </w:pPr>
      <w:r>
        <w:t>(13)</w:t>
      </w:r>
      <w:r>
        <w:tab/>
        <w:t xml:space="preserve">Temporary occupancy unit. </w:t>
      </w:r>
    </w:p>
    <w:p w14:paraId="5C2EBCC5" w14:textId="77777777" w:rsidR="00837914" w:rsidRDefault="00D36692">
      <w:pPr>
        <w:pStyle w:val="List1"/>
      </w:pPr>
      <w:r>
        <w:t>(d)</w:t>
      </w:r>
      <w:r>
        <w:tab/>
        <w:t>The following accessory uses are allowed as conditio</w:t>
      </w:r>
      <w:r>
        <w:t xml:space="preserve">nal uses in AG-5 districts: </w:t>
      </w:r>
    </w:p>
    <w:p w14:paraId="080CB4B3" w14:textId="77777777" w:rsidR="00837914" w:rsidRDefault="00D36692">
      <w:pPr>
        <w:pStyle w:val="List2"/>
      </w:pPr>
      <w:r>
        <w:t>(1)</w:t>
      </w:r>
      <w:r>
        <w:tab/>
        <w:t xml:space="preserve">Cottage industry (if located outside residential development areas as illustrated in the Bulloch County Future Land Use Map). </w:t>
      </w:r>
    </w:p>
    <w:p w14:paraId="6A7CF66A" w14:textId="77777777" w:rsidR="00837914" w:rsidRDefault="00D36692">
      <w:pPr>
        <w:pStyle w:val="List1"/>
      </w:pPr>
      <w:r>
        <w:t>(e)</w:t>
      </w:r>
      <w:r>
        <w:tab/>
        <w:t>All uses not permitted within AG-5 district by this section are specifically prohibited, exc</w:t>
      </w:r>
      <w:r>
        <w:t xml:space="preserve">ept as may be allowed by other provisions of this section. </w:t>
      </w:r>
    </w:p>
    <w:p w14:paraId="570633F9" w14:textId="77777777" w:rsidR="00837914" w:rsidRDefault="00D36692">
      <w:pPr>
        <w:pStyle w:val="HistoryNote"/>
      </w:pPr>
      <w:r>
        <w:t xml:space="preserve">(Ord. No. 1997-40, 12-2-97; </w:t>
      </w:r>
      <w:proofErr w:type="spellStart"/>
      <w:r>
        <w:t>Amd</w:t>
      </w:r>
      <w:proofErr w:type="spellEnd"/>
      <w:r>
        <w:t xml:space="preserve">. of 11-7-00(2); </w:t>
      </w:r>
      <w:proofErr w:type="spellStart"/>
      <w:r>
        <w:t>Amd</w:t>
      </w:r>
      <w:proofErr w:type="spellEnd"/>
      <w:r>
        <w:t xml:space="preserve">. of 7-2-02(1); </w:t>
      </w:r>
      <w:proofErr w:type="spellStart"/>
      <w:r>
        <w:t>Amd</w:t>
      </w:r>
      <w:proofErr w:type="spellEnd"/>
      <w:r>
        <w:t xml:space="preserve">. of 7-2-02(2); </w:t>
      </w:r>
      <w:proofErr w:type="spellStart"/>
      <w:r>
        <w:t>Amd</w:t>
      </w:r>
      <w:proofErr w:type="spellEnd"/>
      <w:r>
        <w:t xml:space="preserve">. of 1-7-03; </w:t>
      </w:r>
      <w:proofErr w:type="spellStart"/>
      <w:r>
        <w:t>Amd</w:t>
      </w:r>
      <w:proofErr w:type="spellEnd"/>
      <w:r>
        <w:t xml:space="preserve">. of 6-1-04; </w:t>
      </w:r>
      <w:proofErr w:type="spellStart"/>
      <w:r>
        <w:t>Amd</w:t>
      </w:r>
      <w:proofErr w:type="spellEnd"/>
      <w:r>
        <w:t xml:space="preserve">. of 4-5-05(3); </w:t>
      </w:r>
      <w:proofErr w:type="spellStart"/>
      <w:r>
        <w:t>Amd</w:t>
      </w:r>
      <w:proofErr w:type="spellEnd"/>
      <w:r>
        <w:t xml:space="preserve">. of 4-4-06; </w:t>
      </w:r>
      <w:proofErr w:type="spellStart"/>
      <w:r>
        <w:t>Amd</w:t>
      </w:r>
      <w:proofErr w:type="spellEnd"/>
      <w:r>
        <w:t xml:space="preserve">. of 8-1-06(2); </w:t>
      </w:r>
      <w:proofErr w:type="spellStart"/>
      <w:r>
        <w:t>Amd</w:t>
      </w:r>
      <w:proofErr w:type="spellEnd"/>
      <w:r>
        <w:t xml:space="preserve">. of 11-7-06; </w:t>
      </w:r>
      <w:proofErr w:type="spellStart"/>
      <w:r>
        <w:t>Amd</w:t>
      </w:r>
      <w:proofErr w:type="spellEnd"/>
      <w:r>
        <w:t>. of</w:t>
      </w:r>
      <w:r>
        <w:t xml:space="preserve"> 3-6-07; </w:t>
      </w:r>
      <w:proofErr w:type="spellStart"/>
      <w:r>
        <w:t>Amd</w:t>
      </w:r>
      <w:proofErr w:type="spellEnd"/>
      <w:r>
        <w:t xml:space="preserve">. of 10-9-07; </w:t>
      </w:r>
      <w:proofErr w:type="spellStart"/>
      <w:r>
        <w:t>Amd</w:t>
      </w:r>
      <w:proofErr w:type="spellEnd"/>
      <w:r>
        <w:t xml:space="preserve">. of 12-2-08; </w:t>
      </w:r>
      <w:proofErr w:type="spellStart"/>
      <w:r>
        <w:t>Amd</w:t>
      </w:r>
      <w:proofErr w:type="spellEnd"/>
      <w:r>
        <w:t xml:space="preserve">. of 5-17-13(1); </w:t>
      </w:r>
      <w:proofErr w:type="spellStart"/>
      <w:r>
        <w:t>Amd</w:t>
      </w:r>
      <w:proofErr w:type="spellEnd"/>
      <w:r>
        <w:t xml:space="preserve">. of 5-17-13(2); </w:t>
      </w:r>
      <w:proofErr w:type="spellStart"/>
      <w:r>
        <w:t>Amd</w:t>
      </w:r>
      <w:proofErr w:type="spellEnd"/>
      <w:r>
        <w:t xml:space="preserve">. of 2-4-20(1); </w:t>
      </w:r>
      <w:proofErr w:type="spellStart"/>
      <w:r>
        <w:t>Amd</w:t>
      </w:r>
      <w:proofErr w:type="spellEnd"/>
      <w:r>
        <w:t>. of 11-2-21)</w:t>
      </w:r>
    </w:p>
    <w:p w14:paraId="2404ADC7" w14:textId="77777777" w:rsidR="00837914" w:rsidRDefault="00837914">
      <w:pPr>
        <w:spacing w:before="0" w:after="0"/>
        <w:sectPr w:rsidR="00837914">
          <w:headerReference w:type="default" r:id="rId15"/>
          <w:footerReference w:type="default" r:id="rId16"/>
          <w:type w:val="continuous"/>
          <w:pgSz w:w="12240" w:h="15840"/>
          <w:pgMar w:top="1440" w:right="1440" w:bottom="1440" w:left="1440" w:header="720" w:footer="720" w:gutter="0"/>
          <w:cols w:space="720"/>
        </w:sectPr>
      </w:pPr>
    </w:p>
    <w:p w14:paraId="628B685C" w14:textId="77777777" w:rsidR="00837914" w:rsidRDefault="00D36692">
      <w:pPr>
        <w:pStyle w:val="Section"/>
      </w:pPr>
      <w:r>
        <w:t>Section 504. Development standards for AG-5 districts.</w:t>
      </w:r>
    </w:p>
    <w:p w14:paraId="192F6CB0" w14:textId="77777777" w:rsidR="00837914" w:rsidRDefault="00D36692">
      <w:pPr>
        <w:pStyle w:val="Paragraph1"/>
      </w:pPr>
      <w:r>
        <w:t xml:space="preserve">The following standards are required within AG-5 districts: </w:t>
      </w:r>
    </w:p>
    <w:tbl>
      <w:tblPr>
        <w:tblStyle w:val="Table1b1d21c9c-5984-4a3e-a159-610d2c1a52ce"/>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
        <w:gridCol w:w="3276"/>
        <w:gridCol w:w="5300"/>
      </w:tblGrid>
      <w:tr w:rsidR="00837914" w14:paraId="1402D169" w14:textId="77777777">
        <w:tc>
          <w:tcPr>
            <w:tcW w:w="409" w:type="pct"/>
          </w:tcPr>
          <w:p w14:paraId="4B69588E" w14:textId="77777777" w:rsidR="00837914" w:rsidRDefault="00D36692">
            <w:r>
              <w:t xml:space="preserve">(1) </w:t>
            </w:r>
          </w:p>
        </w:tc>
        <w:tc>
          <w:tcPr>
            <w:tcW w:w="1754" w:type="pct"/>
          </w:tcPr>
          <w:p w14:paraId="23771767" w14:textId="77777777" w:rsidR="00837914" w:rsidRDefault="00D36692">
            <w:r>
              <w:t xml:space="preserve">Minimum lot area: </w:t>
            </w:r>
          </w:p>
        </w:tc>
        <w:tc>
          <w:tcPr>
            <w:tcW w:w="2836" w:type="pct"/>
          </w:tcPr>
          <w:p w14:paraId="2AC99FC3" w14:textId="77777777" w:rsidR="00837914" w:rsidRDefault="00D36692">
            <w:r>
              <w:t xml:space="preserve">As specified by the county health department, but in no case less than five acres; </w:t>
            </w:r>
            <w:proofErr w:type="gramStart"/>
            <w:r>
              <w:t>however</w:t>
            </w:r>
            <w:proofErr w:type="gramEnd"/>
            <w:r>
              <w:t xml:space="preserve"> a lot of record lawfully </w:t>
            </w:r>
            <w:r>
              <w:t xml:space="preserve">existing at the time of the original passage of this appendix (November 4, 1994) and having an area which does not conform to the above standards may nevertheless be developed with a use which is permitted within an AG-5 district if approved by the county </w:t>
            </w:r>
            <w:r>
              <w:t xml:space="preserve">health department. </w:t>
            </w:r>
          </w:p>
        </w:tc>
      </w:tr>
      <w:tr w:rsidR="00837914" w14:paraId="7D8DCFB7" w14:textId="77777777">
        <w:tc>
          <w:tcPr>
            <w:tcW w:w="409" w:type="pct"/>
          </w:tcPr>
          <w:p w14:paraId="4B286D41" w14:textId="77777777" w:rsidR="00837914" w:rsidRDefault="00D36692">
            <w:r>
              <w:t xml:space="preserve">(2) </w:t>
            </w:r>
          </w:p>
        </w:tc>
        <w:tc>
          <w:tcPr>
            <w:tcW w:w="1754" w:type="pct"/>
          </w:tcPr>
          <w:p w14:paraId="68F434B9" w14:textId="77777777" w:rsidR="00837914" w:rsidRDefault="00D36692">
            <w:r>
              <w:t xml:space="preserve">Minimum lot width: </w:t>
            </w:r>
          </w:p>
        </w:tc>
        <w:tc>
          <w:tcPr>
            <w:tcW w:w="2836" w:type="pct"/>
          </w:tcPr>
          <w:p w14:paraId="7B977C70" w14:textId="77777777" w:rsidR="00837914" w:rsidRDefault="00D36692">
            <w:r>
              <w:t xml:space="preserve">200 feet. </w:t>
            </w:r>
          </w:p>
        </w:tc>
      </w:tr>
      <w:tr w:rsidR="00837914" w14:paraId="4BCBD6AC" w14:textId="77777777">
        <w:tc>
          <w:tcPr>
            <w:tcW w:w="409" w:type="pct"/>
          </w:tcPr>
          <w:p w14:paraId="4466A993" w14:textId="77777777" w:rsidR="00837914" w:rsidRDefault="00D36692">
            <w:r>
              <w:t xml:space="preserve">(3) </w:t>
            </w:r>
          </w:p>
        </w:tc>
        <w:tc>
          <w:tcPr>
            <w:tcW w:w="1754" w:type="pct"/>
          </w:tcPr>
          <w:p w14:paraId="31843D40" w14:textId="77777777" w:rsidR="00837914" w:rsidRDefault="00D36692">
            <w:r>
              <w:t xml:space="preserve">Minimum front-yard setback: </w:t>
            </w:r>
          </w:p>
        </w:tc>
        <w:tc>
          <w:tcPr>
            <w:tcW w:w="2836" w:type="pct"/>
          </w:tcPr>
          <w:p w14:paraId="392E99B7" w14:textId="77777777" w:rsidR="00837914" w:rsidRDefault="00D36692">
            <w:r>
              <w:t xml:space="preserve">100 feet from property line. </w:t>
            </w:r>
          </w:p>
        </w:tc>
      </w:tr>
      <w:tr w:rsidR="00837914" w14:paraId="2F4C31C4" w14:textId="77777777">
        <w:tc>
          <w:tcPr>
            <w:tcW w:w="409" w:type="pct"/>
          </w:tcPr>
          <w:p w14:paraId="65F7727A" w14:textId="77777777" w:rsidR="00837914" w:rsidRDefault="00D36692">
            <w:r>
              <w:t xml:space="preserve">(4) </w:t>
            </w:r>
          </w:p>
        </w:tc>
        <w:tc>
          <w:tcPr>
            <w:tcW w:w="1754" w:type="pct"/>
          </w:tcPr>
          <w:p w14:paraId="60EFA509" w14:textId="77777777" w:rsidR="00837914" w:rsidRDefault="00D36692">
            <w:r>
              <w:t xml:space="preserve">Minimum side-yard setback: </w:t>
            </w:r>
          </w:p>
        </w:tc>
        <w:tc>
          <w:tcPr>
            <w:tcW w:w="2836" w:type="pct"/>
          </w:tcPr>
          <w:p w14:paraId="649B27A1" w14:textId="77777777" w:rsidR="00837914" w:rsidRDefault="00D36692">
            <w:r>
              <w:t xml:space="preserve">30 feet. </w:t>
            </w:r>
          </w:p>
        </w:tc>
      </w:tr>
      <w:tr w:rsidR="00837914" w14:paraId="614F3B87" w14:textId="77777777">
        <w:tc>
          <w:tcPr>
            <w:tcW w:w="409" w:type="pct"/>
          </w:tcPr>
          <w:p w14:paraId="191E03B9" w14:textId="77777777" w:rsidR="00837914" w:rsidRDefault="00D36692">
            <w:r>
              <w:t xml:space="preserve">(5) </w:t>
            </w:r>
          </w:p>
        </w:tc>
        <w:tc>
          <w:tcPr>
            <w:tcW w:w="1754" w:type="pct"/>
          </w:tcPr>
          <w:p w14:paraId="2F8189AE" w14:textId="77777777" w:rsidR="00837914" w:rsidRDefault="00D36692">
            <w:r>
              <w:t xml:space="preserve">Minimum rear-yard setback: </w:t>
            </w:r>
          </w:p>
        </w:tc>
        <w:tc>
          <w:tcPr>
            <w:tcW w:w="2836" w:type="pct"/>
          </w:tcPr>
          <w:p w14:paraId="178B97E7" w14:textId="77777777" w:rsidR="00837914" w:rsidRDefault="00D36692">
            <w:r>
              <w:t xml:space="preserve">50 feet. </w:t>
            </w:r>
          </w:p>
        </w:tc>
      </w:tr>
      <w:tr w:rsidR="00837914" w14:paraId="5EDE20B1" w14:textId="77777777">
        <w:tc>
          <w:tcPr>
            <w:tcW w:w="409" w:type="pct"/>
          </w:tcPr>
          <w:p w14:paraId="37AB963E" w14:textId="77777777" w:rsidR="00837914" w:rsidRDefault="00D36692">
            <w:r>
              <w:t xml:space="preserve">(6) </w:t>
            </w:r>
          </w:p>
        </w:tc>
        <w:tc>
          <w:tcPr>
            <w:tcW w:w="1754" w:type="pct"/>
          </w:tcPr>
          <w:p w14:paraId="4CAF8717" w14:textId="77777777" w:rsidR="00837914" w:rsidRDefault="00D36692">
            <w:r>
              <w:t xml:space="preserve">Maximum bldg. height </w:t>
            </w:r>
          </w:p>
        </w:tc>
        <w:tc>
          <w:tcPr>
            <w:tcW w:w="2836" w:type="pct"/>
          </w:tcPr>
          <w:p w14:paraId="04DE4A89" w14:textId="77777777" w:rsidR="00837914" w:rsidRDefault="00D36692">
            <w:r>
              <w:t>45 feet; however, this height limit does not apply to projections not intended for human habitation. For buildings and structures with such projections, the minimum required yards must be increased one foot for every two feet (or part</w:t>
            </w:r>
            <w:r>
              <w:t xml:space="preserve"> of two feet) of height greater than 45 feet. </w:t>
            </w:r>
          </w:p>
        </w:tc>
      </w:tr>
    </w:tbl>
    <w:p w14:paraId="0A99059D" w14:textId="77777777" w:rsidR="00837914" w:rsidRDefault="00837914"/>
    <w:p w14:paraId="2B790D50" w14:textId="77777777" w:rsidR="00837914" w:rsidRDefault="00D36692">
      <w:pPr>
        <w:pStyle w:val="List2"/>
      </w:pPr>
      <w:r>
        <w:t>(7)</w:t>
      </w:r>
      <w:r>
        <w:tab/>
      </w:r>
      <w:r>
        <w:t>Applicability to land and open space: No building, structure or land may be used or occupied—and no building or structure or part of a building or structure may be erected, constructed, reconstructed, moved, or structurally altered—unless in conformity wit</w:t>
      </w:r>
      <w:r>
        <w:t xml:space="preserve">h </w:t>
      </w:r>
      <w:proofErr w:type="gramStart"/>
      <w:r>
        <w:t>all of</w:t>
      </w:r>
      <w:proofErr w:type="gramEnd"/>
      <w:r>
        <w:t xml:space="preserve"> the regulations specified for the district in which it is located. </w:t>
      </w:r>
    </w:p>
    <w:p w14:paraId="5E006F28" w14:textId="77777777" w:rsidR="00837914" w:rsidRDefault="00D36692">
      <w:pPr>
        <w:pStyle w:val="List2"/>
      </w:pPr>
      <w:r>
        <w:t>(8)</w:t>
      </w:r>
      <w:r>
        <w:tab/>
        <w:t xml:space="preserve">Every use must be on a lot: No building or structure may be </w:t>
      </w:r>
      <w:proofErr w:type="gramStart"/>
      <w:r>
        <w:t>erected</w:t>
      </w:r>
      <w:proofErr w:type="gramEnd"/>
      <w:r>
        <w:t xml:space="preserve"> or use established unless upon a lot as defined by this appendix. </w:t>
      </w:r>
    </w:p>
    <w:p w14:paraId="51B53B1B" w14:textId="77777777" w:rsidR="00837914" w:rsidRDefault="00D36692">
      <w:pPr>
        <w:pStyle w:val="List2"/>
      </w:pPr>
      <w:r>
        <w:t>(9)</w:t>
      </w:r>
      <w:r>
        <w:tab/>
        <w:t>Only one principal building per lot:</w:t>
      </w:r>
      <w:r>
        <w:t xml:space="preserve"> Only one principal building and its accessory buildings may be erected on any lot, except for planned developments or as otherwise provided. </w:t>
      </w:r>
    </w:p>
    <w:p w14:paraId="30A95207" w14:textId="77777777" w:rsidR="00837914" w:rsidRDefault="00D36692">
      <w:pPr>
        <w:pStyle w:val="List2"/>
      </w:pPr>
      <w:r>
        <w:t>(10)</w:t>
      </w:r>
      <w:r>
        <w:tab/>
        <w:t>Open space not to be encroached upon: No open space may be encroached upon or reduced in any manner except i</w:t>
      </w:r>
      <w:r>
        <w:t xml:space="preserve">n conformity with the yard, setback, </w:t>
      </w:r>
      <w:proofErr w:type="spellStart"/>
      <w:r>
        <w:t>offstreet</w:t>
      </w:r>
      <w:proofErr w:type="spellEnd"/>
      <w:r>
        <w:t xml:space="preserve"> parking spaces, and other such required development standards contained in this appendix. Shrubbery, driveways, retaining walls, fences, curbs, and buffers are not considered to be encroachments of yards. Open</w:t>
      </w:r>
      <w:r>
        <w:t xml:space="preserve"> space areas as required by this appendix must be permanently maintained as open space in accordance with the requirements of this appendix. </w:t>
      </w:r>
    </w:p>
    <w:p w14:paraId="6ABC9A80" w14:textId="77777777" w:rsidR="00837914" w:rsidRDefault="00D36692">
      <w:pPr>
        <w:pStyle w:val="List2"/>
      </w:pPr>
      <w:r>
        <w:t>(11)</w:t>
      </w:r>
      <w:r>
        <w:tab/>
        <w:t xml:space="preserve">Reduction of yards or lot area: Except as otherwise provided in this appendix, a lot existing at the time of </w:t>
      </w:r>
      <w:r>
        <w:t>the original passage of this ordinance (November 4, 1994) may not be reduced, divided, or changed so as to produce a tract of land which does not comply with the minimum dimension or area requirements of this appendix for the district in which it is locate</w:t>
      </w:r>
      <w:r>
        <w:t xml:space="preserve">d unless that reduction or division is necessary to provide land which is needed and accepted for public use. </w:t>
      </w:r>
    </w:p>
    <w:p w14:paraId="60801709" w14:textId="77777777" w:rsidR="00837914" w:rsidRDefault="00D36692">
      <w:pPr>
        <w:pStyle w:val="List2"/>
      </w:pPr>
      <w:r>
        <w:t>(12)</w:t>
      </w:r>
      <w:r>
        <w:tab/>
        <w:t>Lots with multiple frontage: In the case of a corner lot or double frontage lot, front yard setback requirements apply to all lot lines abut</w:t>
      </w:r>
      <w:r>
        <w:t xml:space="preserve">ting a street. </w:t>
      </w:r>
    </w:p>
    <w:p w14:paraId="2D009BBF" w14:textId="77777777" w:rsidR="00837914" w:rsidRDefault="00D36692">
      <w:pPr>
        <w:pStyle w:val="List2"/>
      </w:pPr>
      <w:r>
        <w:t>(13)</w:t>
      </w:r>
      <w:r>
        <w:tab/>
        <w:t>Street frontage: No principal building may be erected on any lot which has less than 30 feet of immediate frontage on at least one public street. For purposes of this provision, the term "frontage" includes the width of an easement fro</w:t>
      </w:r>
      <w:r>
        <w:t xml:space="preserve">m a public street to otherwise land-locked property. </w:t>
      </w:r>
    </w:p>
    <w:p w14:paraId="0B63C24F" w14:textId="77777777" w:rsidR="00837914" w:rsidRDefault="00D36692">
      <w:pPr>
        <w:pStyle w:val="List2"/>
      </w:pPr>
      <w:r>
        <w:t>(14)</w:t>
      </w:r>
      <w:r>
        <w:tab/>
      </w:r>
      <w:r>
        <w:t xml:space="preserve">Yards and other spaces: No part of a yard, other open space, </w:t>
      </w:r>
      <w:proofErr w:type="spellStart"/>
      <w:r>
        <w:t>offstreet</w:t>
      </w:r>
      <w:proofErr w:type="spellEnd"/>
      <w:r>
        <w:t xml:space="preserve"> parking, or loading space required for another building may be included as a part of the yard, </w:t>
      </w:r>
      <w:proofErr w:type="spellStart"/>
      <w:r>
        <w:t>offstreet</w:t>
      </w:r>
      <w:proofErr w:type="spellEnd"/>
      <w:r>
        <w:t xml:space="preserve"> parking, or loading space required for another building, except as specifically </w:t>
      </w:r>
      <w:r>
        <w:t xml:space="preserve">provided for in this appendix. </w:t>
      </w:r>
    </w:p>
    <w:p w14:paraId="0D2214F6" w14:textId="77777777" w:rsidR="00837914" w:rsidRDefault="00D36692">
      <w:pPr>
        <w:pStyle w:val="List2"/>
      </w:pPr>
      <w:r>
        <w:t>(15)</w:t>
      </w:r>
      <w:r>
        <w:tab/>
        <w:t xml:space="preserve">Substandard lots: When a lot has an area or frontage which does not conform with the requirements of the district in which it is </w:t>
      </w:r>
      <w:proofErr w:type="gramStart"/>
      <w:r>
        <w:t>located, but</w:t>
      </w:r>
      <w:proofErr w:type="gramEnd"/>
      <w:r>
        <w:t xml:space="preserve"> was a lot of record at the original effective date of this section (November </w:t>
      </w:r>
      <w:r>
        <w:t xml:space="preserve">4, 1994), such a lot may be used for any use allowed in the zoning district in which it is located as long as all other requirements of this section are met. </w:t>
      </w:r>
    </w:p>
    <w:p w14:paraId="6F8AE70C" w14:textId="77777777" w:rsidR="00837914" w:rsidRDefault="00D36692">
      <w:pPr>
        <w:pStyle w:val="List3"/>
      </w:pPr>
      <w:r>
        <w:t>a.</w:t>
      </w:r>
      <w:r>
        <w:tab/>
        <w:t xml:space="preserve">Adjoining lots in same ownership: When two adjoining lots are in the same ownership, they may </w:t>
      </w:r>
      <w:r>
        <w:t xml:space="preserve">be utilized as one lot without being </w:t>
      </w:r>
      <w:proofErr w:type="spellStart"/>
      <w:r>
        <w:t>replatted</w:t>
      </w:r>
      <w:proofErr w:type="spellEnd"/>
      <w:r>
        <w:t xml:space="preserve">. </w:t>
      </w:r>
    </w:p>
    <w:p w14:paraId="3ECEB4B7" w14:textId="77777777" w:rsidR="00837914" w:rsidRDefault="00D36692">
      <w:pPr>
        <w:pStyle w:val="List3"/>
      </w:pPr>
      <w:r>
        <w:t>b.</w:t>
      </w:r>
      <w:r>
        <w:tab/>
        <w:t xml:space="preserve">[Reserved.] </w:t>
      </w:r>
    </w:p>
    <w:p w14:paraId="1AF7A5FA" w14:textId="77777777" w:rsidR="00837914" w:rsidRDefault="00D36692">
      <w:pPr>
        <w:pStyle w:val="List2"/>
      </w:pPr>
      <w:r>
        <w:t>(16)</w:t>
      </w:r>
      <w:r>
        <w:tab/>
        <w:t xml:space="preserve">Encroachment on public rights-of-way: No building, structure, service area, required </w:t>
      </w:r>
      <w:proofErr w:type="spellStart"/>
      <w:r>
        <w:t>offstreet</w:t>
      </w:r>
      <w:proofErr w:type="spellEnd"/>
      <w:r>
        <w:t xml:space="preserve"> parking, or loading/unloading facilities are permitted to encroach on public rights-of-way.</w:t>
      </w:r>
      <w:r>
        <w:t xml:space="preserve"> </w:t>
      </w:r>
    </w:p>
    <w:p w14:paraId="29A724F7" w14:textId="77777777" w:rsidR="00837914" w:rsidRDefault="00D36692">
      <w:pPr>
        <w:pStyle w:val="List2"/>
      </w:pPr>
      <w:r>
        <w:t>(17)</w:t>
      </w:r>
      <w:r>
        <w:tab/>
        <w:t xml:space="preserve">Physical design standards: Minimum design standards for driveways, loading areas, and other such physical site improvements are contained in applicable development regulations of the county. Consult that document for specific requirements. </w:t>
      </w:r>
    </w:p>
    <w:p w14:paraId="0C41D39A" w14:textId="77777777" w:rsidR="00837914" w:rsidRDefault="00D36692">
      <w:pPr>
        <w:pStyle w:val="List2"/>
      </w:pPr>
      <w:r>
        <w:t>(18)</w:t>
      </w:r>
      <w:r>
        <w:tab/>
      </w:r>
      <w:proofErr w:type="spellStart"/>
      <w:r>
        <w:t>Off</w:t>
      </w:r>
      <w:r>
        <w:t>street</w:t>
      </w:r>
      <w:proofErr w:type="spellEnd"/>
      <w:r>
        <w:t xml:space="preserve"> parking and service requirements: Minimum standards for </w:t>
      </w:r>
      <w:proofErr w:type="spellStart"/>
      <w:r>
        <w:t>offstreet</w:t>
      </w:r>
      <w:proofErr w:type="spellEnd"/>
      <w:r>
        <w:t xml:space="preserve"> parking and service requirements are contained in the county standard for </w:t>
      </w:r>
      <w:proofErr w:type="spellStart"/>
      <w:r>
        <w:t>offstreet</w:t>
      </w:r>
      <w:proofErr w:type="spellEnd"/>
      <w:r>
        <w:t xml:space="preserve"> parking and service facilities (Appendix G). </w:t>
      </w:r>
    </w:p>
    <w:p w14:paraId="545F7371" w14:textId="77777777" w:rsidR="00837914" w:rsidRDefault="00D36692">
      <w:pPr>
        <w:pStyle w:val="List2"/>
      </w:pPr>
      <w:r>
        <w:t>(19)</w:t>
      </w:r>
      <w:r>
        <w:tab/>
        <w:t>Other applicable development regulations: Inform</w:t>
      </w:r>
      <w:r>
        <w:t xml:space="preserve">ation concerning any other applicable development regulations may be obtained by consulting the zoning administrator. </w:t>
      </w:r>
    </w:p>
    <w:p w14:paraId="6CDC8E3D" w14:textId="77777777" w:rsidR="00837914" w:rsidRDefault="00D36692">
      <w:pPr>
        <w:pStyle w:val="List2"/>
      </w:pPr>
      <w:r>
        <w:t>(20)</w:t>
      </w:r>
      <w:r>
        <w:tab/>
        <w:t>Residential structures and non-residential structures designed or intended for human occupancy shall not be allowed to locate any cl</w:t>
      </w:r>
      <w:r>
        <w:t xml:space="preserve">oser than the height of the tower to any existing tower. See sections 2602 and 2605 of article 26—Standards for towers and wireless telecommunications facilities. </w:t>
      </w:r>
    </w:p>
    <w:p w14:paraId="6449B258" w14:textId="77777777" w:rsidR="00837914" w:rsidRDefault="00D36692">
      <w:pPr>
        <w:pStyle w:val="HistoryNote"/>
      </w:pPr>
      <w:r>
        <w:t>(</w:t>
      </w:r>
      <w:proofErr w:type="spellStart"/>
      <w:r>
        <w:t>Amd</w:t>
      </w:r>
      <w:proofErr w:type="spellEnd"/>
      <w:r>
        <w:t xml:space="preserve">. of 1-3-06; </w:t>
      </w:r>
      <w:proofErr w:type="spellStart"/>
      <w:r>
        <w:t>Amd</w:t>
      </w:r>
      <w:proofErr w:type="spellEnd"/>
      <w:r>
        <w:t>. of 12-2-08)</w:t>
      </w:r>
    </w:p>
    <w:p w14:paraId="7A4BC14B" w14:textId="77777777" w:rsidR="00837914" w:rsidRDefault="00837914">
      <w:pPr>
        <w:spacing w:before="0" w:after="0"/>
      </w:pPr>
    </w:p>
    <w:sectPr w:rsidR="00837914">
      <w:headerReference w:type="default" r:id="rId17"/>
      <w:footerReference w:type="default" r:id="rId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DAF2" w14:textId="77777777" w:rsidR="00000000" w:rsidRDefault="00D36692">
      <w:pPr>
        <w:spacing w:before="0" w:after="0"/>
      </w:pPr>
      <w:r>
        <w:separator/>
      </w:r>
    </w:p>
  </w:endnote>
  <w:endnote w:type="continuationSeparator" w:id="0">
    <w:p w14:paraId="2B8D8AC4" w14:textId="77777777" w:rsidR="00000000" w:rsidRDefault="00D366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234A" w14:textId="77777777" w:rsidR="00837914" w:rsidRDefault="00837914">
    <w:pPr>
      <w:pStyle w:val="FooterCenter"/>
      <w:pBdr>
        <w:bottom w:val="single" w:sz="4" w:space="0" w:color="auto"/>
      </w:pBdr>
    </w:pPr>
  </w:p>
  <w:p w14:paraId="15EC7F0A" w14:textId="77777777" w:rsidR="00837914" w:rsidRDefault="00D36692">
    <w:pPr>
      <w:pStyle w:val="FooterLeft"/>
    </w:pPr>
    <w:r>
      <w:t>Bulloch County, Georgia, Code of Ordinances</w:t>
    </w:r>
    <w:r>
      <w:tab/>
    </w:r>
    <w:r>
      <w:rPr>
        <w:rFonts w:ascii="Consolas" w:eastAsia="Consolas" w:hAnsi="Consolas" w:cs="Consolas"/>
        <w:sz w:val="12"/>
      </w:rPr>
      <w:t xml:space="preserve">   Created: 2022-03-02 12:22:10 [EST]</w:t>
    </w:r>
  </w:p>
  <w:p w14:paraId="2CD25C1B" w14:textId="77777777" w:rsidR="00837914" w:rsidRDefault="00D36692">
    <w:pPr>
      <w:pStyle w:val="FooterLeft"/>
    </w:pPr>
    <w:r>
      <w:t>(Supp. No. 31)</w:t>
    </w:r>
  </w:p>
  <w:p w14:paraId="1D243780" w14:textId="77777777" w:rsidR="00837914" w:rsidRDefault="00D3669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3D55" w14:textId="77777777" w:rsidR="00837914" w:rsidRDefault="00837914">
    <w:pPr>
      <w:pStyle w:val="FooterCenter"/>
      <w:pBdr>
        <w:bottom w:val="single" w:sz="4" w:space="0" w:color="auto"/>
      </w:pBdr>
    </w:pPr>
  </w:p>
  <w:p w14:paraId="6EA9EB8C" w14:textId="77777777" w:rsidR="00837914" w:rsidRDefault="00D36692">
    <w:pPr>
      <w:pStyle w:val="FooterLeft"/>
    </w:pPr>
    <w:r>
      <w:tab/>
    </w:r>
    <w:r>
      <w:rPr>
        <w:rFonts w:ascii="Consolas" w:eastAsia="Consolas" w:hAnsi="Consolas" w:cs="Consolas"/>
        <w:sz w:val="12"/>
      </w:rPr>
      <w:t xml:space="preserve">   Created: 2022-03-02 12:22:10 [EST]</w:t>
    </w:r>
  </w:p>
  <w:p w14:paraId="07BE5BDD" w14:textId="77777777" w:rsidR="00837914" w:rsidRDefault="00D36692">
    <w:pPr>
      <w:pStyle w:val="FooterLeft"/>
    </w:pPr>
    <w:r>
      <w:t>(Supp. No. 31)</w:t>
    </w:r>
  </w:p>
  <w:p w14:paraId="2CD6E675" w14:textId="77777777" w:rsidR="00837914" w:rsidRDefault="00D3669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1A7E" w14:textId="77777777" w:rsidR="00837914" w:rsidRDefault="00837914">
    <w:pPr>
      <w:pStyle w:val="FooterCenter"/>
      <w:pBdr>
        <w:bottom w:val="single" w:sz="4" w:space="0" w:color="auto"/>
      </w:pBdr>
    </w:pPr>
  </w:p>
  <w:p w14:paraId="56E856E6" w14:textId="77777777" w:rsidR="00837914" w:rsidRDefault="00D36692">
    <w:pPr>
      <w:pStyle w:val="FooterLeft"/>
    </w:pPr>
    <w:r>
      <w:tab/>
    </w:r>
    <w:r>
      <w:rPr>
        <w:rFonts w:ascii="Consolas" w:eastAsia="Consolas" w:hAnsi="Consolas" w:cs="Consolas"/>
        <w:sz w:val="12"/>
      </w:rPr>
      <w:t xml:space="preserve">   Created: 2022-03-02 12:22:10 [EST]</w:t>
    </w:r>
  </w:p>
  <w:p w14:paraId="2A5A8A9A" w14:textId="77777777" w:rsidR="00837914" w:rsidRDefault="00D36692">
    <w:pPr>
      <w:pStyle w:val="FooterLeft"/>
    </w:pPr>
    <w:r>
      <w:t>(Supp. No. 31)</w:t>
    </w:r>
  </w:p>
  <w:p w14:paraId="6E83EFA3" w14:textId="77777777" w:rsidR="00837914" w:rsidRDefault="00D3669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766F" w14:textId="77777777" w:rsidR="00837914" w:rsidRDefault="00837914">
    <w:pPr>
      <w:pStyle w:val="FooterCenter"/>
      <w:pBdr>
        <w:bottom w:val="single" w:sz="4" w:space="0" w:color="auto"/>
      </w:pBdr>
    </w:pPr>
  </w:p>
  <w:p w14:paraId="6B463047" w14:textId="77777777" w:rsidR="00837914" w:rsidRDefault="00D36692">
    <w:pPr>
      <w:pStyle w:val="FooterLeft"/>
    </w:pPr>
    <w:r>
      <w:tab/>
    </w:r>
    <w:r>
      <w:rPr>
        <w:rFonts w:ascii="Consolas" w:eastAsia="Consolas" w:hAnsi="Consolas" w:cs="Consolas"/>
        <w:sz w:val="12"/>
      </w:rPr>
      <w:t xml:space="preserve">   Created: 2022-03</w:t>
    </w:r>
    <w:r>
      <w:rPr>
        <w:rFonts w:ascii="Consolas" w:eastAsia="Consolas" w:hAnsi="Consolas" w:cs="Consolas"/>
        <w:sz w:val="12"/>
      </w:rPr>
      <w:t>-02 12:22:10 [EST]</w:t>
    </w:r>
  </w:p>
  <w:p w14:paraId="7EB6F738" w14:textId="77777777" w:rsidR="00837914" w:rsidRDefault="00D36692">
    <w:pPr>
      <w:pStyle w:val="FooterLeft"/>
    </w:pPr>
    <w:r>
      <w:t>(Supp. No. 31)</w:t>
    </w:r>
  </w:p>
  <w:p w14:paraId="4C37210B" w14:textId="77777777" w:rsidR="00837914" w:rsidRDefault="00D3669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DEE4" w14:textId="77777777" w:rsidR="00837914" w:rsidRDefault="00837914">
    <w:pPr>
      <w:pStyle w:val="FooterCenter"/>
      <w:pBdr>
        <w:bottom w:val="single" w:sz="4" w:space="0" w:color="auto"/>
      </w:pBdr>
    </w:pPr>
  </w:p>
  <w:p w14:paraId="4730C352" w14:textId="77777777" w:rsidR="00837914" w:rsidRDefault="00D36692">
    <w:pPr>
      <w:pStyle w:val="FooterLeft"/>
    </w:pPr>
    <w:r>
      <w:tab/>
    </w:r>
    <w:r>
      <w:rPr>
        <w:rFonts w:ascii="Consolas" w:eastAsia="Consolas" w:hAnsi="Consolas" w:cs="Consolas"/>
        <w:sz w:val="12"/>
      </w:rPr>
      <w:t xml:space="preserve">   Created: 2022-03-02 12:22:10 [EST]</w:t>
    </w:r>
  </w:p>
  <w:p w14:paraId="34C1E93F" w14:textId="77777777" w:rsidR="00837914" w:rsidRDefault="00D36692">
    <w:pPr>
      <w:pStyle w:val="FooterLeft"/>
    </w:pPr>
    <w:r>
      <w:t>(Supp. No. 31)</w:t>
    </w:r>
  </w:p>
  <w:p w14:paraId="0E1DE22B" w14:textId="77777777" w:rsidR="00837914" w:rsidRDefault="00D3669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2E48" w14:textId="77777777" w:rsidR="00837914" w:rsidRDefault="00837914">
    <w:pPr>
      <w:pStyle w:val="FooterCenter"/>
      <w:pBdr>
        <w:bottom w:val="single" w:sz="4" w:space="0" w:color="auto"/>
      </w:pBdr>
    </w:pPr>
  </w:p>
  <w:p w14:paraId="1D827532" w14:textId="77777777" w:rsidR="00837914" w:rsidRDefault="00D36692">
    <w:pPr>
      <w:pStyle w:val="FooterLeft"/>
    </w:pPr>
    <w:r>
      <w:tab/>
    </w:r>
    <w:r>
      <w:rPr>
        <w:rFonts w:ascii="Consolas" w:eastAsia="Consolas" w:hAnsi="Consolas" w:cs="Consolas"/>
        <w:sz w:val="12"/>
      </w:rPr>
      <w:t xml:space="preserve">   Created: 2022-03-02 12:22:10 [EST]</w:t>
    </w:r>
  </w:p>
  <w:p w14:paraId="30D6CE5D" w14:textId="77777777" w:rsidR="00837914" w:rsidRDefault="00D36692">
    <w:pPr>
      <w:pStyle w:val="FooterLeft"/>
    </w:pPr>
    <w:r>
      <w:t>(Supp. No. 31</w:t>
    </w:r>
    <w:r>
      <w:t>)</w:t>
    </w:r>
  </w:p>
  <w:p w14:paraId="3BB79F66" w14:textId="77777777" w:rsidR="00837914" w:rsidRDefault="00D36692">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4698" w14:textId="77777777" w:rsidR="00000000" w:rsidRDefault="00D36692">
      <w:pPr>
        <w:spacing w:before="0" w:after="0"/>
      </w:pPr>
      <w:r>
        <w:separator/>
      </w:r>
    </w:p>
  </w:footnote>
  <w:footnote w:type="continuationSeparator" w:id="0">
    <w:p w14:paraId="176C9AE3" w14:textId="77777777" w:rsidR="00000000" w:rsidRDefault="00D366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DFB" w14:textId="77777777" w:rsidR="00837914" w:rsidRDefault="00D36692">
    <w:pPr>
      <w:pStyle w:val="HeaderCenter"/>
    </w:pPr>
    <w:r>
      <w:t>PART II - CODE OF ORDINANCES</w:t>
    </w:r>
    <w:r>
      <w:br/>
      <w:t>APPENDIX C - ZONING</w:t>
    </w:r>
    <w:r>
      <w:br/>
      <w:t>ARTICLE 5. AG-5 AGRICULTURAL AND RESIDENTIAL</w:t>
    </w:r>
    <w:r>
      <w:br/>
    </w:r>
  </w:p>
  <w:p w14:paraId="544368E6" w14:textId="77777777" w:rsidR="00837914" w:rsidRDefault="00837914">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DA5E" w14:textId="77777777" w:rsidR="00837914" w:rsidRDefault="00837914">
    <w:pPr>
      <w:pStyle w:val="HeaderCenter"/>
    </w:pPr>
  </w:p>
  <w:p w14:paraId="5C752D13" w14:textId="77777777" w:rsidR="00837914" w:rsidRDefault="00837914">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6CAB" w14:textId="77777777" w:rsidR="00837914" w:rsidRDefault="00837914">
    <w:pPr>
      <w:pStyle w:val="HeaderCenter"/>
    </w:pPr>
  </w:p>
  <w:p w14:paraId="7558C6D1" w14:textId="77777777" w:rsidR="00837914" w:rsidRDefault="00837914">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E3AD" w14:textId="77777777" w:rsidR="00837914" w:rsidRDefault="00837914">
    <w:pPr>
      <w:pStyle w:val="HeaderCenter"/>
    </w:pPr>
  </w:p>
  <w:p w14:paraId="12E20B6A" w14:textId="77777777" w:rsidR="00837914" w:rsidRDefault="00837914">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D37B" w14:textId="77777777" w:rsidR="00837914" w:rsidRDefault="00837914">
    <w:pPr>
      <w:pStyle w:val="HeaderCenter"/>
    </w:pPr>
  </w:p>
  <w:p w14:paraId="2486E76F" w14:textId="77777777" w:rsidR="00837914" w:rsidRDefault="00837914">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39B5" w14:textId="77777777" w:rsidR="00837914" w:rsidRDefault="00837914">
    <w:pPr>
      <w:pStyle w:val="HeaderCenter"/>
    </w:pPr>
  </w:p>
  <w:p w14:paraId="79658587" w14:textId="77777777" w:rsidR="00837914" w:rsidRDefault="00837914">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3748AA4"/>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643A9C9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334EB66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F5E62EE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A34D188"/>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6F50E82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71F41B7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A304547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0A74628C"/>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0D8E3"/>
    <w:multiLevelType w:val="multilevel"/>
    <w:tmpl w:val="F580F51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30B0715E"/>
    <w:multiLevelType w:val="multilevel"/>
    <w:tmpl w:val="7558302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3722D51D"/>
    <w:multiLevelType w:val="multilevel"/>
    <w:tmpl w:val="8D52199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495C5A25"/>
    <w:multiLevelType w:val="multilevel"/>
    <w:tmpl w:val="442E191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6A25471A"/>
    <w:multiLevelType w:val="multilevel"/>
    <w:tmpl w:val="2A5C538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7EDE7F13"/>
    <w:multiLevelType w:val="multilevel"/>
    <w:tmpl w:val="F0F43F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133981578">
    <w:abstractNumId w:val="8"/>
  </w:num>
  <w:num w:numId="2" w16cid:durableId="2041466083">
    <w:abstractNumId w:val="7"/>
  </w:num>
  <w:num w:numId="3" w16cid:durableId="1401755055">
    <w:abstractNumId w:val="6"/>
  </w:num>
  <w:num w:numId="4" w16cid:durableId="1461998063">
    <w:abstractNumId w:val="5"/>
  </w:num>
  <w:num w:numId="5" w16cid:durableId="70087794">
    <w:abstractNumId w:val="4"/>
  </w:num>
  <w:num w:numId="6" w16cid:durableId="1333216479">
    <w:abstractNumId w:val="3"/>
  </w:num>
  <w:num w:numId="7" w16cid:durableId="1301694529">
    <w:abstractNumId w:val="2"/>
  </w:num>
  <w:num w:numId="8" w16cid:durableId="1734230227">
    <w:abstractNumId w:val="1"/>
  </w:num>
  <w:num w:numId="9" w16cid:durableId="327834611">
    <w:abstractNumId w:val="0"/>
  </w:num>
  <w:num w:numId="10" w16cid:durableId="1069771944">
    <w:abstractNumId w:val="11"/>
  </w:num>
  <w:num w:numId="11" w16cid:durableId="211817215">
    <w:abstractNumId w:val="14"/>
  </w:num>
  <w:num w:numId="12" w16cid:durableId="1019350861">
    <w:abstractNumId w:val="12"/>
  </w:num>
  <w:num w:numId="13" w16cid:durableId="1677420594">
    <w:abstractNumId w:val="9"/>
  </w:num>
  <w:num w:numId="14" w16cid:durableId="991447963">
    <w:abstractNumId w:val="13"/>
  </w:num>
  <w:num w:numId="15" w16cid:durableId="2125925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14"/>
    <w:rsid w:val="00837914"/>
    <w:rsid w:val="00D3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7A37"/>
  <w15:docId w15:val="{94057E73-ABA3-4447-A36B-CAAAAD2B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5e8d4b1c-d6fb-4b8f-abd1-71c4c1f0e286">
    <w:name w:val="Normal Table_5e8d4b1c-d6fb-4b8f-abd1-71c4c1f0e286"/>
    <w:uiPriority w:val="99"/>
    <w:semiHidden/>
    <w:unhideWhenUsed/>
    <w:tblPr>
      <w:tblInd w:w="0" w:type="dxa"/>
      <w:tblCellMar>
        <w:top w:w="0" w:type="dxa"/>
        <w:left w:w="108" w:type="dxa"/>
        <w:bottom w:w="0" w:type="dxa"/>
        <w:right w:w="108" w:type="dxa"/>
      </w:tblCellMar>
    </w:tblPr>
  </w:style>
  <w:style w:type="table" w:styleId="TableGrid">
    <w:name w:val="Table Grid"/>
    <w:basedOn w:val="NormalTable5e8d4b1c-d6fb-4b8f-abd1-71c4c1f0e286"/>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3cf9f696-23b6-4379-b27f-b2973dc66320">
    <w:name w:val="Normal Table_3cf9f696-23b6-4379-b27f-b2973dc66320"/>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3cf9f696-23b6-4379-b27f-b2973dc6632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524bfbf0-dbd0-41e5-95bb-6cb511277ae5">
    <w:name w:val="Normal Table_524bfbf0-dbd0-41e5-95bb-6cb511277ae5"/>
    <w:uiPriority w:val="99"/>
    <w:semiHidden/>
    <w:unhideWhenUsed/>
    <w:tblPr>
      <w:tblInd w:w="0" w:type="dxa"/>
      <w:tblCellMar>
        <w:top w:w="0" w:type="dxa"/>
        <w:left w:w="108" w:type="dxa"/>
        <w:bottom w:w="0" w:type="dxa"/>
        <w:right w:w="108" w:type="dxa"/>
      </w:tblCellMar>
    </w:tblPr>
  </w:style>
  <w:style w:type="table" w:customStyle="1" w:styleId="Table1a5dd19e3-37dc-46ab-ace6-cf93d06dd62e">
    <w:name w:val="Table 1_a5dd19e3-37dc-46ab-ace6-cf93d06dd62e"/>
    <w:basedOn w:val="NormalTable524bfbf0-dbd0-41e5-95bb-6cb511277ae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a5dd19e3-37dc-46ab-ace6-cf93d06dd62e"/>
    <w:uiPriority w:val="99"/>
    <w:tblPr>
      <w:tblInd w:w="590" w:type="dxa"/>
    </w:tblPr>
    <w:tcPr>
      <w:shd w:val="clear" w:color="auto" w:fill="auto"/>
    </w:tcPr>
  </w:style>
  <w:style w:type="table" w:customStyle="1" w:styleId="NormalTablec01bcb3b-644b-4107-8eef-98f24c3df72c">
    <w:name w:val="Normal Table_c01bcb3b-644b-4107-8eef-98f24c3df72c"/>
    <w:uiPriority w:val="99"/>
    <w:semiHidden/>
    <w:unhideWhenUsed/>
    <w:tblPr>
      <w:tblInd w:w="0" w:type="dxa"/>
      <w:tblCellMar>
        <w:top w:w="0" w:type="dxa"/>
        <w:left w:w="108" w:type="dxa"/>
        <w:bottom w:w="0" w:type="dxa"/>
        <w:right w:w="108" w:type="dxa"/>
      </w:tblCellMar>
    </w:tblPr>
  </w:style>
  <w:style w:type="table" w:customStyle="1" w:styleId="Table1f6996729-5302-4aa9-828d-3578f86f9dd2">
    <w:name w:val="Table 1_f6996729-5302-4aa9-828d-3578f86f9dd2"/>
    <w:basedOn w:val="NormalTablec01bcb3b-644b-4107-8eef-98f24c3df72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994d71a-a069-4483-9285-f9437018174a">
    <w:name w:val="Table 2_8994d71a-a069-4483-9285-f9437018174a"/>
    <w:basedOn w:val="Table1f6996729-5302-4aa9-828d-3578f86f9dd2"/>
    <w:uiPriority w:val="99"/>
    <w:tblPr>
      <w:tblInd w:w="590" w:type="dxa"/>
    </w:tblPr>
    <w:tcPr>
      <w:shd w:val="clear" w:color="auto" w:fill="auto"/>
    </w:tcPr>
  </w:style>
  <w:style w:type="table" w:customStyle="1" w:styleId="Table3">
    <w:name w:val="Table 3"/>
    <w:basedOn w:val="Table28994d71a-a069-4483-9285-f9437018174a"/>
    <w:uiPriority w:val="99"/>
    <w:tblPr>
      <w:tblInd w:w="1066" w:type="dxa"/>
    </w:tblPr>
    <w:tcPr>
      <w:shd w:val="clear" w:color="auto" w:fill="auto"/>
    </w:tcPr>
  </w:style>
  <w:style w:type="table" w:customStyle="1" w:styleId="NormalTable6c6bf164-e2cf-4552-8114-1f9718a83596">
    <w:name w:val="Normal Table_6c6bf164-e2cf-4552-8114-1f9718a83596"/>
    <w:uiPriority w:val="99"/>
    <w:semiHidden/>
    <w:unhideWhenUsed/>
    <w:tblPr>
      <w:tblInd w:w="0" w:type="dxa"/>
      <w:tblCellMar>
        <w:top w:w="0" w:type="dxa"/>
        <w:left w:w="108" w:type="dxa"/>
        <w:bottom w:w="0" w:type="dxa"/>
        <w:right w:w="108" w:type="dxa"/>
      </w:tblCellMar>
    </w:tblPr>
  </w:style>
  <w:style w:type="table" w:customStyle="1" w:styleId="Table11fb3a8ab-1a85-448d-aa1b-6380d72a7b53">
    <w:name w:val="Table 1_1fb3a8ab-1a85-448d-aa1b-6380d72a7b53"/>
    <w:basedOn w:val="NormalTable6c6bf164-e2cf-4552-8114-1f9718a8359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b7d24b0-846c-4f40-af9c-3c68f3802129">
    <w:name w:val="Table 2_6b7d24b0-846c-4f40-af9c-3c68f3802129"/>
    <w:basedOn w:val="Table11fb3a8ab-1a85-448d-aa1b-6380d72a7b53"/>
    <w:uiPriority w:val="99"/>
    <w:tblPr>
      <w:tblInd w:w="590" w:type="dxa"/>
    </w:tblPr>
    <w:tcPr>
      <w:shd w:val="clear" w:color="auto" w:fill="auto"/>
    </w:tcPr>
  </w:style>
  <w:style w:type="table" w:customStyle="1" w:styleId="Table3dcfb3ede-23ae-4394-b68d-94baf44da05e">
    <w:name w:val="Table 3_dcfb3ede-23ae-4394-b68d-94baf44da05e"/>
    <w:basedOn w:val="Table26b7d24b0-846c-4f40-af9c-3c68f3802129"/>
    <w:uiPriority w:val="99"/>
    <w:tblPr>
      <w:tblInd w:w="1066" w:type="dxa"/>
    </w:tblPr>
    <w:tcPr>
      <w:shd w:val="clear" w:color="auto" w:fill="auto"/>
    </w:tcPr>
  </w:style>
  <w:style w:type="table" w:customStyle="1" w:styleId="Table4">
    <w:name w:val="Table 4"/>
    <w:basedOn w:val="Table3dcfb3ede-23ae-4394-b68d-94baf44da05e"/>
    <w:uiPriority w:val="99"/>
    <w:tblPr>
      <w:tblInd w:w="1555" w:type="dxa"/>
    </w:tblPr>
    <w:tcPr>
      <w:shd w:val="clear" w:color="auto" w:fill="auto"/>
    </w:tcPr>
  </w:style>
  <w:style w:type="table" w:customStyle="1" w:styleId="NormalTable437b35b4-345d-40dd-b278-0ec6037d7385">
    <w:name w:val="Normal Table_437b35b4-345d-40dd-b278-0ec6037d7385"/>
    <w:uiPriority w:val="99"/>
    <w:semiHidden/>
    <w:unhideWhenUsed/>
    <w:tblPr>
      <w:tblInd w:w="0" w:type="dxa"/>
      <w:tblCellMar>
        <w:top w:w="0" w:type="dxa"/>
        <w:left w:w="108" w:type="dxa"/>
        <w:bottom w:w="0" w:type="dxa"/>
        <w:right w:w="108" w:type="dxa"/>
      </w:tblCellMar>
    </w:tblPr>
  </w:style>
  <w:style w:type="table" w:customStyle="1" w:styleId="Table1bb35b8f9-ce2c-4073-bf64-41759b031f8b">
    <w:name w:val="Table 1_bb35b8f9-ce2c-4073-bf64-41759b031f8b"/>
    <w:basedOn w:val="NormalTable437b35b4-345d-40dd-b278-0ec6037d738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5def8c0-d0dd-4889-86ae-a3036791fb33">
    <w:name w:val="Table 2_b5def8c0-d0dd-4889-86ae-a3036791fb33"/>
    <w:basedOn w:val="Table1bb35b8f9-ce2c-4073-bf64-41759b031f8b"/>
    <w:uiPriority w:val="99"/>
    <w:tblPr>
      <w:tblInd w:w="590" w:type="dxa"/>
    </w:tblPr>
    <w:tcPr>
      <w:shd w:val="clear" w:color="auto" w:fill="auto"/>
    </w:tcPr>
  </w:style>
  <w:style w:type="table" w:customStyle="1" w:styleId="Table36904cf16-3266-4f10-a564-9fed3713aef9">
    <w:name w:val="Table 3_6904cf16-3266-4f10-a564-9fed3713aef9"/>
    <w:basedOn w:val="Table2b5def8c0-d0dd-4889-86ae-a3036791fb33"/>
    <w:uiPriority w:val="99"/>
    <w:tblPr>
      <w:tblInd w:w="1066" w:type="dxa"/>
    </w:tblPr>
    <w:tcPr>
      <w:shd w:val="clear" w:color="auto" w:fill="auto"/>
    </w:tcPr>
  </w:style>
  <w:style w:type="table" w:customStyle="1" w:styleId="Table483821e64-be17-4510-8f51-68a08ca5f83e">
    <w:name w:val="Table 4_83821e64-be17-4510-8f51-68a08ca5f83e"/>
    <w:basedOn w:val="Table36904cf16-3266-4f10-a564-9fed3713aef9"/>
    <w:uiPriority w:val="99"/>
    <w:tblPr>
      <w:tblInd w:w="1555" w:type="dxa"/>
    </w:tblPr>
    <w:tcPr>
      <w:shd w:val="clear" w:color="auto" w:fill="auto"/>
    </w:tcPr>
  </w:style>
  <w:style w:type="table" w:customStyle="1" w:styleId="Table5">
    <w:name w:val="Table 5"/>
    <w:basedOn w:val="Table483821e64-be17-4510-8f51-68a08ca5f83e"/>
    <w:uiPriority w:val="99"/>
    <w:tblPr>
      <w:tblInd w:w="2030" w:type="dxa"/>
    </w:tblPr>
    <w:tcPr>
      <w:shd w:val="clear" w:color="auto" w:fill="auto"/>
    </w:tcPr>
  </w:style>
  <w:style w:type="table" w:customStyle="1" w:styleId="NormalTable782877b4-beb5-49c2-a930-62f1c352a782">
    <w:name w:val="Normal Table_782877b4-beb5-49c2-a930-62f1c352a782"/>
    <w:uiPriority w:val="99"/>
    <w:semiHidden/>
    <w:unhideWhenUsed/>
    <w:tblPr>
      <w:tblInd w:w="0" w:type="dxa"/>
      <w:tblCellMar>
        <w:top w:w="0" w:type="dxa"/>
        <w:left w:w="108" w:type="dxa"/>
        <w:bottom w:w="0" w:type="dxa"/>
        <w:right w:w="108" w:type="dxa"/>
      </w:tblCellMar>
    </w:tblPr>
  </w:style>
  <w:style w:type="table" w:customStyle="1" w:styleId="Table1497c140d-f145-47fc-9a18-3c2f9d28efc2">
    <w:name w:val="Table 1_497c140d-f145-47fc-9a18-3c2f9d28efc2"/>
    <w:basedOn w:val="NormalTable782877b4-beb5-49c2-a930-62f1c352a78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1b831ae-3335-467d-a2bf-c9f055811100">
    <w:name w:val="Table 2_d1b831ae-3335-467d-a2bf-c9f055811100"/>
    <w:basedOn w:val="Table1497c140d-f145-47fc-9a18-3c2f9d28efc2"/>
    <w:uiPriority w:val="99"/>
    <w:tblPr>
      <w:tblInd w:w="590" w:type="dxa"/>
    </w:tblPr>
    <w:tcPr>
      <w:shd w:val="clear" w:color="auto" w:fill="auto"/>
    </w:tcPr>
  </w:style>
  <w:style w:type="table" w:customStyle="1" w:styleId="Table32ec24f84-a92a-4619-b3a2-77f34b831db9">
    <w:name w:val="Table 3_2ec24f84-a92a-4619-b3a2-77f34b831db9"/>
    <w:basedOn w:val="Table2d1b831ae-3335-467d-a2bf-c9f055811100"/>
    <w:uiPriority w:val="99"/>
    <w:tblPr>
      <w:tblInd w:w="1066" w:type="dxa"/>
    </w:tblPr>
    <w:tcPr>
      <w:shd w:val="clear" w:color="auto" w:fill="auto"/>
    </w:tcPr>
  </w:style>
  <w:style w:type="table" w:customStyle="1" w:styleId="Table4cf38868e-2782-4874-967a-119c9d79c0ae">
    <w:name w:val="Table 4_cf38868e-2782-4874-967a-119c9d79c0ae"/>
    <w:basedOn w:val="Table32ec24f84-a92a-4619-b3a2-77f34b831db9"/>
    <w:uiPriority w:val="99"/>
    <w:tblPr>
      <w:tblInd w:w="1555" w:type="dxa"/>
    </w:tblPr>
    <w:tcPr>
      <w:shd w:val="clear" w:color="auto" w:fill="auto"/>
    </w:tcPr>
  </w:style>
  <w:style w:type="table" w:customStyle="1" w:styleId="Table52c6668ae-3305-4102-8aef-550537509e1e">
    <w:name w:val="Table 5_2c6668ae-3305-4102-8aef-550537509e1e"/>
    <w:basedOn w:val="Table4cf38868e-2782-4874-967a-119c9d79c0ae"/>
    <w:uiPriority w:val="99"/>
    <w:tblPr>
      <w:tblInd w:w="2030" w:type="dxa"/>
    </w:tblPr>
    <w:tcPr>
      <w:shd w:val="clear" w:color="auto" w:fill="auto"/>
    </w:tcPr>
  </w:style>
  <w:style w:type="table" w:customStyle="1" w:styleId="Table6">
    <w:name w:val="Table 6"/>
    <w:basedOn w:val="Table52c6668ae-3305-4102-8aef-550537509e1e"/>
    <w:uiPriority w:val="99"/>
    <w:tblPr>
      <w:tblInd w:w="2506" w:type="dxa"/>
      <w:tblCellMar>
        <w:left w:w="115" w:type="dxa"/>
        <w:right w:w="115" w:type="dxa"/>
      </w:tblCellMar>
    </w:tblPr>
    <w:tcPr>
      <w:shd w:val="clear" w:color="auto" w:fill="auto"/>
    </w:tcPr>
  </w:style>
  <w:style w:type="table" w:customStyle="1" w:styleId="NormalTable20d57f91-87dd-4cf5-8000-efd91398531d">
    <w:name w:val="Normal Table_20d57f91-87dd-4cf5-8000-efd91398531d"/>
    <w:uiPriority w:val="99"/>
    <w:semiHidden/>
    <w:unhideWhenUsed/>
    <w:tblPr>
      <w:tblInd w:w="0" w:type="dxa"/>
      <w:tblCellMar>
        <w:top w:w="0" w:type="dxa"/>
        <w:left w:w="108" w:type="dxa"/>
        <w:bottom w:w="0" w:type="dxa"/>
        <w:right w:w="108" w:type="dxa"/>
      </w:tblCellMar>
    </w:tblPr>
  </w:style>
  <w:style w:type="table" w:customStyle="1" w:styleId="Table10c22006f-2b15-44dc-9f55-e9ba66e0cd62">
    <w:name w:val="Table 1_0c22006f-2b15-44dc-9f55-e9ba66e0cd62"/>
    <w:basedOn w:val="NormalTable20d57f91-87dd-4cf5-8000-efd91398531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7d65065-4ca9-43a0-985e-e7b854b343ef">
    <w:name w:val="Table 2_f7d65065-4ca9-43a0-985e-e7b854b343ef"/>
    <w:basedOn w:val="Table10c22006f-2b15-44dc-9f55-e9ba66e0cd62"/>
    <w:uiPriority w:val="99"/>
    <w:tblPr>
      <w:tblInd w:w="590" w:type="dxa"/>
    </w:tblPr>
    <w:tcPr>
      <w:shd w:val="clear" w:color="auto" w:fill="auto"/>
    </w:tcPr>
  </w:style>
  <w:style w:type="table" w:customStyle="1" w:styleId="Table35c54a548-233d-4898-b1ff-58313d3bbff8">
    <w:name w:val="Table 3_5c54a548-233d-4898-b1ff-58313d3bbff8"/>
    <w:basedOn w:val="Table2f7d65065-4ca9-43a0-985e-e7b854b343ef"/>
    <w:uiPriority w:val="99"/>
    <w:tblPr>
      <w:tblInd w:w="1066" w:type="dxa"/>
    </w:tblPr>
    <w:tcPr>
      <w:shd w:val="clear" w:color="auto" w:fill="auto"/>
    </w:tcPr>
  </w:style>
  <w:style w:type="table" w:customStyle="1" w:styleId="Table408ccb0b1-5a32-4892-addd-d178a88dc1e2">
    <w:name w:val="Table 4_08ccb0b1-5a32-4892-addd-d178a88dc1e2"/>
    <w:basedOn w:val="Table35c54a548-233d-4898-b1ff-58313d3bbff8"/>
    <w:uiPriority w:val="99"/>
    <w:tblPr>
      <w:tblInd w:w="1555" w:type="dxa"/>
    </w:tblPr>
    <w:tcPr>
      <w:shd w:val="clear" w:color="auto" w:fill="auto"/>
    </w:tcPr>
  </w:style>
  <w:style w:type="table" w:customStyle="1" w:styleId="Table5014b3088-ceef-4c9d-bc9b-404ebd50de48">
    <w:name w:val="Table 5_014b3088-ceef-4c9d-bc9b-404ebd50de48"/>
    <w:basedOn w:val="Table408ccb0b1-5a32-4892-addd-d178a88dc1e2"/>
    <w:uiPriority w:val="99"/>
    <w:tblPr>
      <w:tblInd w:w="2030" w:type="dxa"/>
    </w:tblPr>
    <w:tcPr>
      <w:shd w:val="clear" w:color="auto" w:fill="auto"/>
    </w:tcPr>
  </w:style>
  <w:style w:type="table" w:customStyle="1" w:styleId="Table69c36cf62-4684-4eac-ab32-50f298f82d55">
    <w:name w:val="Table 6_9c36cf62-4684-4eac-ab32-50f298f82d55"/>
    <w:basedOn w:val="Table5014b3088-ceef-4c9d-bc9b-404ebd50de48"/>
    <w:uiPriority w:val="99"/>
    <w:tblPr>
      <w:tblInd w:w="2506" w:type="dxa"/>
      <w:tblCellMar>
        <w:left w:w="115" w:type="dxa"/>
        <w:right w:w="115" w:type="dxa"/>
      </w:tblCellMar>
    </w:tblPr>
    <w:tcPr>
      <w:shd w:val="clear" w:color="auto" w:fill="auto"/>
    </w:tcPr>
  </w:style>
  <w:style w:type="table" w:customStyle="1" w:styleId="Table7">
    <w:name w:val="Table 7"/>
    <w:basedOn w:val="Table69c36cf62-4684-4eac-ab32-50f298f82d55"/>
    <w:uiPriority w:val="99"/>
    <w:tblPr>
      <w:tblInd w:w="2995" w:type="dxa"/>
    </w:tblPr>
    <w:tcPr>
      <w:shd w:val="clear" w:color="auto" w:fill="auto"/>
    </w:tcPr>
  </w:style>
  <w:style w:type="table" w:customStyle="1" w:styleId="NormalTable254ff8e4-2573-436f-9c04-c32472e1631a">
    <w:name w:val="Normal Table_254ff8e4-2573-436f-9c04-c32472e1631a"/>
    <w:uiPriority w:val="99"/>
    <w:semiHidden/>
    <w:unhideWhenUsed/>
    <w:tblPr>
      <w:tblInd w:w="0" w:type="dxa"/>
      <w:tblCellMar>
        <w:top w:w="0" w:type="dxa"/>
        <w:left w:w="108" w:type="dxa"/>
        <w:bottom w:w="0" w:type="dxa"/>
        <w:right w:w="108" w:type="dxa"/>
      </w:tblCellMar>
    </w:tblPr>
  </w:style>
  <w:style w:type="table" w:customStyle="1" w:styleId="Table1c7660847-f359-4902-82f3-a187ba7aa013">
    <w:name w:val="Table 1_c7660847-f359-4902-82f3-a187ba7aa013"/>
    <w:basedOn w:val="NormalTable254ff8e4-2573-436f-9c04-c32472e1631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78ac34b-dca3-49f2-b84e-b2d7baba949f">
    <w:name w:val="Table 2_878ac34b-dca3-49f2-b84e-b2d7baba949f"/>
    <w:basedOn w:val="Table1c7660847-f359-4902-82f3-a187ba7aa013"/>
    <w:uiPriority w:val="99"/>
    <w:tblPr>
      <w:tblInd w:w="590" w:type="dxa"/>
    </w:tblPr>
    <w:tcPr>
      <w:shd w:val="clear" w:color="auto" w:fill="auto"/>
    </w:tcPr>
  </w:style>
  <w:style w:type="table" w:customStyle="1" w:styleId="Table347d35151-d53c-49ac-836a-4f6cfcffa073">
    <w:name w:val="Table 3_47d35151-d53c-49ac-836a-4f6cfcffa073"/>
    <w:basedOn w:val="Table2878ac34b-dca3-49f2-b84e-b2d7baba949f"/>
    <w:uiPriority w:val="99"/>
    <w:tblPr>
      <w:tblInd w:w="1066" w:type="dxa"/>
    </w:tblPr>
    <w:tcPr>
      <w:shd w:val="clear" w:color="auto" w:fill="auto"/>
    </w:tcPr>
  </w:style>
  <w:style w:type="table" w:customStyle="1" w:styleId="Table4204c8fe1-af93-44c1-8ab3-58a5fdfe15f5">
    <w:name w:val="Table 4_204c8fe1-af93-44c1-8ab3-58a5fdfe15f5"/>
    <w:basedOn w:val="Table347d35151-d53c-49ac-836a-4f6cfcffa073"/>
    <w:uiPriority w:val="99"/>
    <w:tblPr>
      <w:tblInd w:w="1555" w:type="dxa"/>
    </w:tblPr>
    <w:tcPr>
      <w:shd w:val="clear" w:color="auto" w:fill="auto"/>
    </w:tcPr>
  </w:style>
  <w:style w:type="table" w:customStyle="1" w:styleId="Table5b117bc33-afb4-4c17-b026-4ecc0f82791e">
    <w:name w:val="Table 5_b117bc33-afb4-4c17-b026-4ecc0f82791e"/>
    <w:basedOn w:val="Table4204c8fe1-af93-44c1-8ab3-58a5fdfe15f5"/>
    <w:uiPriority w:val="99"/>
    <w:tblPr>
      <w:tblInd w:w="2030" w:type="dxa"/>
    </w:tblPr>
    <w:tcPr>
      <w:shd w:val="clear" w:color="auto" w:fill="auto"/>
    </w:tcPr>
  </w:style>
  <w:style w:type="table" w:customStyle="1" w:styleId="Table68bef78b7-3ca9-440c-842d-a243ccffd12f">
    <w:name w:val="Table 6_8bef78b7-3ca9-440c-842d-a243ccffd12f"/>
    <w:basedOn w:val="Table5b117bc33-afb4-4c17-b026-4ecc0f82791e"/>
    <w:uiPriority w:val="99"/>
    <w:tblPr>
      <w:tblInd w:w="2506" w:type="dxa"/>
      <w:tblCellMar>
        <w:left w:w="115" w:type="dxa"/>
        <w:right w:w="115" w:type="dxa"/>
      </w:tblCellMar>
    </w:tblPr>
    <w:tcPr>
      <w:shd w:val="clear" w:color="auto" w:fill="auto"/>
    </w:tcPr>
  </w:style>
  <w:style w:type="table" w:customStyle="1" w:styleId="Table78a64e7ba-f759-4661-b2fa-acd024f3628f">
    <w:name w:val="Table 7_8a64e7ba-f759-4661-b2fa-acd024f3628f"/>
    <w:basedOn w:val="Table68bef78b7-3ca9-440c-842d-a243ccffd12f"/>
    <w:uiPriority w:val="99"/>
    <w:tblPr>
      <w:tblInd w:w="2995" w:type="dxa"/>
    </w:tblPr>
    <w:tcPr>
      <w:shd w:val="clear" w:color="auto" w:fill="auto"/>
    </w:tcPr>
  </w:style>
  <w:style w:type="table" w:customStyle="1" w:styleId="Table8">
    <w:name w:val="Table 8"/>
    <w:basedOn w:val="Table78a64e7ba-f759-4661-b2fa-acd024f3628f"/>
    <w:uiPriority w:val="99"/>
    <w:tblPr>
      <w:tblInd w:w="3470" w:type="dxa"/>
    </w:tblPr>
    <w:tcPr>
      <w:shd w:val="clear" w:color="auto" w:fill="auto"/>
    </w:tcPr>
  </w:style>
  <w:style w:type="table" w:customStyle="1" w:styleId="NormalTable725fb7ab-1ca7-4b49-92fe-92c2e77cf50a">
    <w:name w:val="Normal Table_725fb7ab-1ca7-4b49-92fe-92c2e77cf50a"/>
    <w:uiPriority w:val="99"/>
    <w:semiHidden/>
    <w:unhideWhenUsed/>
    <w:tblPr>
      <w:tblInd w:w="0" w:type="dxa"/>
      <w:tblCellMar>
        <w:top w:w="0" w:type="dxa"/>
        <w:left w:w="108" w:type="dxa"/>
        <w:bottom w:w="0" w:type="dxa"/>
        <w:right w:w="108" w:type="dxa"/>
      </w:tblCellMar>
    </w:tblPr>
  </w:style>
  <w:style w:type="table" w:customStyle="1" w:styleId="Table179021b5c-eb24-496d-a864-009b7f2e2416">
    <w:name w:val="Table 1_79021b5c-eb24-496d-a864-009b7f2e2416"/>
    <w:basedOn w:val="NormalTable725fb7ab-1ca7-4b49-92fe-92c2e77cf50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a751a8e-2384-4512-9054-c3e8f6814bb2">
    <w:name w:val="Table 2_7a751a8e-2384-4512-9054-c3e8f6814bb2"/>
    <w:basedOn w:val="Table179021b5c-eb24-496d-a864-009b7f2e2416"/>
    <w:uiPriority w:val="99"/>
    <w:tblPr>
      <w:tblInd w:w="590" w:type="dxa"/>
    </w:tblPr>
    <w:tcPr>
      <w:shd w:val="clear" w:color="auto" w:fill="auto"/>
    </w:tcPr>
  </w:style>
  <w:style w:type="table" w:customStyle="1" w:styleId="Table3f858836a-21b9-47a2-a5ed-e4e1f0629ad4">
    <w:name w:val="Table 3_f858836a-21b9-47a2-a5ed-e4e1f0629ad4"/>
    <w:basedOn w:val="Table27a751a8e-2384-4512-9054-c3e8f6814bb2"/>
    <w:uiPriority w:val="99"/>
    <w:tblPr>
      <w:tblInd w:w="1066" w:type="dxa"/>
    </w:tblPr>
    <w:tcPr>
      <w:shd w:val="clear" w:color="auto" w:fill="auto"/>
    </w:tcPr>
  </w:style>
  <w:style w:type="table" w:customStyle="1" w:styleId="Table440009b40-ab1f-4906-8ac8-4406253dca99">
    <w:name w:val="Table 4_40009b40-ab1f-4906-8ac8-4406253dca99"/>
    <w:basedOn w:val="Table3f858836a-21b9-47a2-a5ed-e4e1f0629ad4"/>
    <w:uiPriority w:val="99"/>
    <w:tblPr>
      <w:tblInd w:w="1555" w:type="dxa"/>
    </w:tblPr>
    <w:tcPr>
      <w:shd w:val="clear" w:color="auto" w:fill="auto"/>
    </w:tcPr>
  </w:style>
  <w:style w:type="table" w:customStyle="1" w:styleId="Table5b3591f30-d2b6-46cf-984f-efc37a076e42">
    <w:name w:val="Table 5_b3591f30-d2b6-46cf-984f-efc37a076e42"/>
    <w:basedOn w:val="Table440009b40-ab1f-4906-8ac8-4406253dca99"/>
    <w:uiPriority w:val="99"/>
    <w:tblPr>
      <w:tblInd w:w="2030" w:type="dxa"/>
    </w:tblPr>
    <w:tcPr>
      <w:shd w:val="clear" w:color="auto" w:fill="auto"/>
    </w:tcPr>
  </w:style>
  <w:style w:type="table" w:customStyle="1" w:styleId="Table60fb6a8b1-c45c-4f72-9f96-45e94619fc7d">
    <w:name w:val="Table 6_0fb6a8b1-c45c-4f72-9f96-45e94619fc7d"/>
    <w:basedOn w:val="Table5b3591f30-d2b6-46cf-984f-efc37a076e42"/>
    <w:uiPriority w:val="99"/>
    <w:tblPr>
      <w:tblInd w:w="2506" w:type="dxa"/>
      <w:tblCellMar>
        <w:left w:w="115" w:type="dxa"/>
        <w:right w:w="115" w:type="dxa"/>
      </w:tblCellMar>
    </w:tblPr>
    <w:tcPr>
      <w:shd w:val="clear" w:color="auto" w:fill="auto"/>
    </w:tcPr>
  </w:style>
  <w:style w:type="table" w:customStyle="1" w:styleId="Table754a379b2-f012-4979-83c9-308d2a63f3f7">
    <w:name w:val="Table 7_54a379b2-f012-4979-83c9-308d2a63f3f7"/>
    <w:basedOn w:val="Table60fb6a8b1-c45c-4f72-9f96-45e94619fc7d"/>
    <w:uiPriority w:val="99"/>
    <w:tblPr>
      <w:tblInd w:w="2995" w:type="dxa"/>
    </w:tblPr>
    <w:tcPr>
      <w:shd w:val="clear" w:color="auto" w:fill="auto"/>
    </w:tcPr>
  </w:style>
  <w:style w:type="table" w:customStyle="1" w:styleId="Table81a794374-ddf6-42a1-bc8b-a50f8b46cd7f">
    <w:name w:val="Table 8_1a794374-ddf6-42a1-bc8b-a50f8b46cd7f"/>
    <w:basedOn w:val="Table754a379b2-f012-4979-83c9-308d2a63f3f7"/>
    <w:uiPriority w:val="99"/>
    <w:tblPr>
      <w:tblInd w:w="3470" w:type="dxa"/>
    </w:tblPr>
    <w:tcPr>
      <w:shd w:val="clear" w:color="auto" w:fill="auto"/>
    </w:tcPr>
  </w:style>
  <w:style w:type="table" w:customStyle="1" w:styleId="Table9">
    <w:name w:val="Table 9"/>
    <w:basedOn w:val="Table81a794374-ddf6-42a1-bc8b-a50f8b46cd7f"/>
    <w:uiPriority w:val="99"/>
    <w:tblPr>
      <w:tblInd w:w="3946" w:type="dxa"/>
    </w:tblPr>
    <w:tcPr>
      <w:shd w:val="clear" w:color="auto" w:fill="auto"/>
    </w:tcPr>
  </w:style>
  <w:style w:type="table" w:customStyle="1" w:styleId="NormalTablef180cb60-b528-4e08-8e6b-790ff0dc6342">
    <w:name w:val="Normal Table_f180cb60-b528-4e08-8e6b-790ff0dc6342"/>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f180cb60-b528-4e08-8e6b-790ff0dc6342"/>
    <w:uiPriority w:val="99"/>
    <w:pPr>
      <w:spacing w:before="0" w:after="0"/>
      <w:jc w:val="left"/>
    </w:pPr>
    <w:tblPr>
      <w:tblCellMar>
        <w:left w:w="0" w:type="dxa"/>
        <w:right w:w="0" w:type="dxa"/>
      </w:tblCellMar>
    </w:tblPr>
    <w:tcPr>
      <w:shd w:val="clear" w:color="auto" w:fill="auto"/>
    </w:tcPr>
  </w:style>
  <w:style w:type="table" w:customStyle="1" w:styleId="NormalTable8bd14a76-72fc-4b02-a8b8-a2eb63360e87">
    <w:name w:val="Normal Table_8bd14a76-72fc-4b02-a8b8-a2eb63360e87"/>
    <w:uiPriority w:val="99"/>
    <w:semiHidden/>
    <w:unhideWhenUsed/>
    <w:tblPr>
      <w:tblInd w:w="0" w:type="dxa"/>
      <w:tblCellMar>
        <w:top w:w="0" w:type="dxa"/>
        <w:left w:w="108" w:type="dxa"/>
        <w:bottom w:w="0" w:type="dxa"/>
        <w:right w:w="108" w:type="dxa"/>
      </w:tblCellMar>
    </w:tblPr>
  </w:style>
  <w:style w:type="table" w:customStyle="1" w:styleId="TableNoRule1b9559e0e-19db-4b3c-8b11-93e0cf9052ef">
    <w:name w:val="Table NoRule 1_b9559e0e-19db-4b3c-8b11-93e0cf9052ef"/>
    <w:basedOn w:val="NormalTable8bd14a76-72fc-4b02-a8b8-a2eb63360e87"/>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b9559e0e-19db-4b3c-8b11-93e0cf9052ef"/>
    <w:uiPriority w:val="99"/>
    <w:tblPr>
      <w:tblInd w:w="475" w:type="dxa"/>
    </w:tblPr>
    <w:tcPr>
      <w:shd w:val="clear" w:color="auto" w:fill="auto"/>
    </w:tcPr>
  </w:style>
  <w:style w:type="table" w:customStyle="1" w:styleId="NormalTable0826b10c-1b7f-4b1a-bbb2-4d91ebcbcd36">
    <w:name w:val="Normal Table_0826b10c-1b7f-4b1a-bbb2-4d91ebcbcd36"/>
    <w:uiPriority w:val="99"/>
    <w:semiHidden/>
    <w:unhideWhenUsed/>
    <w:tblPr>
      <w:tblInd w:w="0" w:type="dxa"/>
      <w:tblCellMar>
        <w:top w:w="0" w:type="dxa"/>
        <w:left w:w="108" w:type="dxa"/>
        <w:bottom w:w="0" w:type="dxa"/>
        <w:right w:w="108" w:type="dxa"/>
      </w:tblCellMar>
    </w:tblPr>
  </w:style>
  <w:style w:type="table" w:customStyle="1" w:styleId="TableNoRule14385a33a-a7ec-4712-bd91-fefae2b1a593">
    <w:name w:val="Table NoRule 1_4385a33a-a7ec-4712-bd91-fefae2b1a593"/>
    <w:basedOn w:val="NormalTable0826b10c-1b7f-4b1a-bbb2-4d91ebcbcd36"/>
    <w:uiPriority w:val="99"/>
    <w:pPr>
      <w:spacing w:before="0" w:after="0"/>
      <w:jc w:val="left"/>
    </w:pPr>
    <w:tblPr>
      <w:tblCellMar>
        <w:left w:w="0" w:type="dxa"/>
        <w:right w:w="0" w:type="dxa"/>
      </w:tblCellMar>
    </w:tblPr>
    <w:tcPr>
      <w:shd w:val="clear" w:color="auto" w:fill="auto"/>
    </w:tcPr>
  </w:style>
  <w:style w:type="table" w:customStyle="1" w:styleId="TableNoRule2a5f3523a-7fb3-41b3-bbe3-282318a988d7">
    <w:name w:val="Table NoRule 2_a5f3523a-7fb3-41b3-bbe3-282318a988d7"/>
    <w:basedOn w:val="TableNoRule14385a33a-a7ec-4712-bd91-fefae2b1a593"/>
    <w:uiPriority w:val="99"/>
    <w:tblPr>
      <w:tblInd w:w="475" w:type="dxa"/>
    </w:tblPr>
    <w:tcPr>
      <w:shd w:val="clear" w:color="auto" w:fill="auto"/>
    </w:tcPr>
  </w:style>
  <w:style w:type="table" w:customStyle="1" w:styleId="TableNoRule3">
    <w:name w:val="Table NoRule 3"/>
    <w:basedOn w:val="TableNoRule2a5f3523a-7fb3-41b3-bbe3-282318a988d7"/>
    <w:uiPriority w:val="99"/>
    <w:tblPr>
      <w:tblInd w:w="950" w:type="dxa"/>
    </w:tblPr>
    <w:tcPr>
      <w:shd w:val="clear" w:color="auto" w:fill="auto"/>
    </w:tcPr>
  </w:style>
  <w:style w:type="table" w:customStyle="1" w:styleId="NormalTable713b0e6c-7dda-4a2c-a7d9-c4539b5530ac">
    <w:name w:val="Normal Table_713b0e6c-7dda-4a2c-a7d9-c4539b5530ac"/>
    <w:uiPriority w:val="99"/>
    <w:semiHidden/>
    <w:unhideWhenUsed/>
    <w:tblPr>
      <w:tblInd w:w="0" w:type="dxa"/>
      <w:tblCellMar>
        <w:top w:w="0" w:type="dxa"/>
        <w:left w:w="108" w:type="dxa"/>
        <w:bottom w:w="0" w:type="dxa"/>
        <w:right w:w="108" w:type="dxa"/>
      </w:tblCellMar>
    </w:tblPr>
  </w:style>
  <w:style w:type="table" w:customStyle="1" w:styleId="TableNoRule1e9bd924e-bf26-4737-94ae-6f8c4e87ab2f">
    <w:name w:val="Table NoRule 1_e9bd924e-bf26-4737-94ae-6f8c4e87ab2f"/>
    <w:basedOn w:val="NormalTable713b0e6c-7dda-4a2c-a7d9-c4539b5530ac"/>
    <w:uiPriority w:val="99"/>
    <w:pPr>
      <w:spacing w:before="0" w:after="0"/>
      <w:jc w:val="left"/>
    </w:pPr>
    <w:tblPr>
      <w:tblCellMar>
        <w:left w:w="0" w:type="dxa"/>
        <w:right w:w="0" w:type="dxa"/>
      </w:tblCellMar>
    </w:tblPr>
    <w:tcPr>
      <w:shd w:val="clear" w:color="auto" w:fill="auto"/>
    </w:tcPr>
  </w:style>
  <w:style w:type="table" w:customStyle="1" w:styleId="TableNoRule2a2d4da80-4cc6-4e8d-a1c4-8b60d40cc4c1">
    <w:name w:val="Table NoRule 2_a2d4da80-4cc6-4e8d-a1c4-8b60d40cc4c1"/>
    <w:basedOn w:val="TableNoRule1e9bd924e-bf26-4737-94ae-6f8c4e87ab2f"/>
    <w:uiPriority w:val="99"/>
    <w:tblPr>
      <w:tblInd w:w="475" w:type="dxa"/>
    </w:tblPr>
    <w:tcPr>
      <w:shd w:val="clear" w:color="auto" w:fill="auto"/>
    </w:tcPr>
  </w:style>
  <w:style w:type="table" w:customStyle="1" w:styleId="TableNoRule3ded96580-d18c-439e-9168-77575a315d3d">
    <w:name w:val="Table NoRule 3_ded96580-d18c-439e-9168-77575a315d3d"/>
    <w:basedOn w:val="TableNoRule2a2d4da80-4cc6-4e8d-a1c4-8b60d40cc4c1"/>
    <w:uiPriority w:val="99"/>
    <w:tblPr>
      <w:tblInd w:w="950" w:type="dxa"/>
    </w:tblPr>
    <w:tcPr>
      <w:shd w:val="clear" w:color="auto" w:fill="auto"/>
    </w:tcPr>
  </w:style>
  <w:style w:type="table" w:customStyle="1" w:styleId="TableNoRule4">
    <w:name w:val="Table NoRule 4"/>
    <w:basedOn w:val="TableNoRule3ded96580-d18c-439e-9168-77575a315d3d"/>
    <w:uiPriority w:val="99"/>
    <w:tblPr>
      <w:tblInd w:w="1440" w:type="dxa"/>
    </w:tblPr>
    <w:tcPr>
      <w:shd w:val="clear" w:color="auto" w:fill="auto"/>
    </w:tcPr>
  </w:style>
  <w:style w:type="table" w:customStyle="1" w:styleId="NormalTable490803aa-f79a-4fc2-b753-b38cea353bb1">
    <w:name w:val="Normal Table_490803aa-f79a-4fc2-b753-b38cea353bb1"/>
    <w:uiPriority w:val="99"/>
    <w:semiHidden/>
    <w:unhideWhenUsed/>
    <w:tblPr>
      <w:tblInd w:w="0" w:type="dxa"/>
      <w:tblCellMar>
        <w:top w:w="0" w:type="dxa"/>
        <w:left w:w="108" w:type="dxa"/>
        <w:bottom w:w="0" w:type="dxa"/>
        <w:right w:w="108" w:type="dxa"/>
      </w:tblCellMar>
    </w:tblPr>
  </w:style>
  <w:style w:type="table" w:customStyle="1" w:styleId="TableNoRule132ec0807-6cc3-4f8c-91d2-e611178798d7">
    <w:name w:val="Table NoRule 1_32ec0807-6cc3-4f8c-91d2-e611178798d7"/>
    <w:basedOn w:val="NormalTable490803aa-f79a-4fc2-b753-b38cea353bb1"/>
    <w:uiPriority w:val="99"/>
    <w:pPr>
      <w:spacing w:before="0" w:after="0"/>
      <w:jc w:val="left"/>
    </w:pPr>
    <w:tblPr>
      <w:tblCellMar>
        <w:left w:w="0" w:type="dxa"/>
        <w:right w:w="0" w:type="dxa"/>
      </w:tblCellMar>
    </w:tblPr>
    <w:tcPr>
      <w:shd w:val="clear" w:color="auto" w:fill="auto"/>
    </w:tcPr>
  </w:style>
  <w:style w:type="table" w:customStyle="1" w:styleId="TableNoRule26006d424-7e2a-48f2-b644-439ee9efb492">
    <w:name w:val="Table NoRule 2_6006d424-7e2a-48f2-b644-439ee9efb492"/>
    <w:basedOn w:val="TableNoRule132ec0807-6cc3-4f8c-91d2-e611178798d7"/>
    <w:uiPriority w:val="99"/>
    <w:tblPr>
      <w:tblInd w:w="475" w:type="dxa"/>
    </w:tblPr>
    <w:tcPr>
      <w:shd w:val="clear" w:color="auto" w:fill="auto"/>
    </w:tcPr>
  </w:style>
  <w:style w:type="table" w:customStyle="1" w:styleId="TableNoRule315d4ec53-4da2-49ae-9be9-a2b8a14a4a42">
    <w:name w:val="Table NoRule 3_15d4ec53-4da2-49ae-9be9-a2b8a14a4a42"/>
    <w:basedOn w:val="TableNoRule26006d424-7e2a-48f2-b644-439ee9efb492"/>
    <w:uiPriority w:val="99"/>
    <w:tblPr>
      <w:tblInd w:w="950" w:type="dxa"/>
    </w:tblPr>
    <w:tcPr>
      <w:shd w:val="clear" w:color="auto" w:fill="auto"/>
    </w:tcPr>
  </w:style>
  <w:style w:type="table" w:customStyle="1" w:styleId="TableNoRule43fe3baad-b01a-4924-aa8a-b36b9ed80442">
    <w:name w:val="Table NoRule 4_3fe3baad-b01a-4924-aa8a-b36b9ed80442"/>
    <w:basedOn w:val="TableNoRule315d4ec53-4da2-49ae-9be9-a2b8a14a4a42"/>
    <w:uiPriority w:val="99"/>
    <w:tblPr>
      <w:tblInd w:w="1440" w:type="dxa"/>
    </w:tblPr>
    <w:tcPr>
      <w:shd w:val="clear" w:color="auto" w:fill="auto"/>
    </w:tcPr>
  </w:style>
  <w:style w:type="table" w:customStyle="1" w:styleId="TableNoRule5">
    <w:name w:val="Table NoRule 5"/>
    <w:basedOn w:val="TableNoRule43fe3baad-b01a-4924-aa8a-b36b9ed80442"/>
    <w:uiPriority w:val="99"/>
    <w:tblPr>
      <w:tblInd w:w="1915" w:type="dxa"/>
    </w:tblPr>
    <w:tcPr>
      <w:shd w:val="clear" w:color="auto" w:fill="auto"/>
    </w:tcPr>
  </w:style>
  <w:style w:type="table" w:customStyle="1" w:styleId="NormalTable75156ab1-5f5d-421b-823a-dc0f190da17d">
    <w:name w:val="Normal Table_75156ab1-5f5d-421b-823a-dc0f190da17d"/>
    <w:uiPriority w:val="99"/>
    <w:semiHidden/>
    <w:unhideWhenUsed/>
    <w:tblPr>
      <w:tblInd w:w="0" w:type="dxa"/>
      <w:tblCellMar>
        <w:top w:w="0" w:type="dxa"/>
        <w:left w:w="108" w:type="dxa"/>
        <w:bottom w:w="0" w:type="dxa"/>
        <w:right w:w="108" w:type="dxa"/>
      </w:tblCellMar>
    </w:tblPr>
  </w:style>
  <w:style w:type="table" w:customStyle="1" w:styleId="TableNoRule1cb494210-a9fd-4084-87ac-8e50b319fef2">
    <w:name w:val="Table NoRule 1_cb494210-a9fd-4084-87ac-8e50b319fef2"/>
    <w:basedOn w:val="NormalTable75156ab1-5f5d-421b-823a-dc0f190da17d"/>
    <w:uiPriority w:val="99"/>
    <w:pPr>
      <w:spacing w:before="0" w:after="0"/>
      <w:jc w:val="left"/>
    </w:pPr>
    <w:tblPr>
      <w:tblCellMar>
        <w:left w:w="0" w:type="dxa"/>
        <w:right w:w="0" w:type="dxa"/>
      </w:tblCellMar>
    </w:tblPr>
    <w:tcPr>
      <w:shd w:val="clear" w:color="auto" w:fill="auto"/>
    </w:tcPr>
  </w:style>
  <w:style w:type="table" w:customStyle="1" w:styleId="TableNoRule253685c26-6c30-4653-b8f6-1411a953ca7a">
    <w:name w:val="Table NoRule 2_53685c26-6c30-4653-b8f6-1411a953ca7a"/>
    <w:basedOn w:val="TableNoRule1cb494210-a9fd-4084-87ac-8e50b319fef2"/>
    <w:uiPriority w:val="99"/>
    <w:tblPr>
      <w:tblInd w:w="475" w:type="dxa"/>
    </w:tblPr>
    <w:tcPr>
      <w:shd w:val="clear" w:color="auto" w:fill="auto"/>
    </w:tcPr>
  </w:style>
  <w:style w:type="table" w:customStyle="1" w:styleId="TableNoRule3c71d8755-8286-4e38-b05a-dbb4d1f0d15b">
    <w:name w:val="Table NoRule 3_c71d8755-8286-4e38-b05a-dbb4d1f0d15b"/>
    <w:basedOn w:val="TableNoRule253685c26-6c30-4653-b8f6-1411a953ca7a"/>
    <w:uiPriority w:val="99"/>
    <w:tblPr>
      <w:tblInd w:w="950" w:type="dxa"/>
    </w:tblPr>
    <w:tcPr>
      <w:shd w:val="clear" w:color="auto" w:fill="auto"/>
    </w:tcPr>
  </w:style>
  <w:style w:type="table" w:customStyle="1" w:styleId="TableNoRule403c2b7b1-c22d-4c12-9688-6b42dff4cc57">
    <w:name w:val="Table NoRule 4_03c2b7b1-c22d-4c12-9688-6b42dff4cc57"/>
    <w:basedOn w:val="TableNoRule3c71d8755-8286-4e38-b05a-dbb4d1f0d15b"/>
    <w:uiPriority w:val="99"/>
    <w:tblPr>
      <w:tblInd w:w="1440" w:type="dxa"/>
    </w:tblPr>
    <w:tcPr>
      <w:shd w:val="clear" w:color="auto" w:fill="auto"/>
    </w:tcPr>
  </w:style>
  <w:style w:type="table" w:customStyle="1" w:styleId="TableNoRule53057e511-b3a7-434a-abd2-b02c29a7ed93">
    <w:name w:val="Table NoRule 5_3057e511-b3a7-434a-abd2-b02c29a7ed93"/>
    <w:basedOn w:val="TableNoRule403c2b7b1-c22d-4c12-9688-6b42dff4cc57"/>
    <w:uiPriority w:val="99"/>
    <w:tblPr>
      <w:tblInd w:w="1915" w:type="dxa"/>
    </w:tblPr>
    <w:tcPr>
      <w:shd w:val="clear" w:color="auto" w:fill="auto"/>
    </w:tcPr>
  </w:style>
  <w:style w:type="table" w:customStyle="1" w:styleId="TableNoRule6">
    <w:name w:val="Table NoRule 6"/>
    <w:basedOn w:val="TableNoRule53057e511-b3a7-434a-abd2-b02c29a7ed93"/>
    <w:uiPriority w:val="99"/>
    <w:tblPr>
      <w:tblInd w:w="2390" w:type="dxa"/>
    </w:tblPr>
    <w:tcPr>
      <w:shd w:val="clear" w:color="auto" w:fill="auto"/>
    </w:tcPr>
  </w:style>
  <w:style w:type="table" w:customStyle="1" w:styleId="NormalTable2e609b46-b266-42b1-a3a5-8036797f9c44">
    <w:name w:val="Normal Table_2e609b46-b266-42b1-a3a5-8036797f9c44"/>
    <w:uiPriority w:val="99"/>
    <w:semiHidden/>
    <w:unhideWhenUsed/>
    <w:tblPr>
      <w:tblInd w:w="0" w:type="dxa"/>
      <w:tblCellMar>
        <w:top w:w="0" w:type="dxa"/>
        <w:left w:w="108" w:type="dxa"/>
        <w:bottom w:w="0" w:type="dxa"/>
        <w:right w:w="108" w:type="dxa"/>
      </w:tblCellMar>
    </w:tblPr>
  </w:style>
  <w:style w:type="table" w:customStyle="1" w:styleId="TableNoRule1e214c907-3693-4f61-be5d-146409bf51cf">
    <w:name w:val="Table NoRule 1_e214c907-3693-4f61-be5d-146409bf51cf"/>
    <w:basedOn w:val="NormalTable2e609b46-b266-42b1-a3a5-8036797f9c44"/>
    <w:uiPriority w:val="99"/>
    <w:pPr>
      <w:spacing w:before="0" w:after="0"/>
      <w:jc w:val="left"/>
    </w:pPr>
    <w:tblPr>
      <w:tblCellMar>
        <w:left w:w="0" w:type="dxa"/>
        <w:right w:w="0" w:type="dxa"/>
      </w:tblCellMar>
    </w:tblPr>
    <w:tcPr>
      <w:shd w:val="clear" w:color="auto" w:fill="auto"/>
    </w:tcPr>
  </w:style>
  <w:style w:type="table" w:customStyle="1" w:styleId="TableNoRule29c66bf1e-82e6-47f8-890b-37befccd0326">
    <w:name w:val="Table NoRule 2_9c66bf1e-82e6-47f8-890b-37befccd0326"/>
    <w:basedOn w:val="TableNoRule1e214c907-3693-4f61-be5d-146409bf51cf"/>
    <w:uiPriority w:val="99"/>
    <w:tblPr>
      <w:tblInd w:w="475" w:type="dxa"/>
    </w:tblPr>
    <w:tcPr>
      <w:shd w:val="clear" w:color="auto" w:fill="auto"/>
    </w:tcPr>
  </w:style>
  <w:style w:type="table" w:customStyle="1" w:styleId="TableNoRule3ca1a74da-6bce-41a4-a13d-24902b94e79f">
    <w:name w:val="Table NoRule 3_ca1a74da-6bce-41a4-a13d-24902b94e79f"/>
    <w:basedOn w:val="TableNoRule29c66bf1e-82e6-47f8-890b-37befccd0326"/>
    <w:uiPriority w:val="99"/>
    <w:tblPr>
      <w:tblInd w:w="950" w:type="dxa"/>
    </w:tblPr>
    <w:tcPr>
      <w:shd w:val="clear" w:color="auto" w:fill="auto"/>
    </w:tcPr>
  </w:style>
  <w:style w:type="table" w:customStyle="1" w:styleId="TableNoRule4b1c32481-a4ac-4e5c-bc9a-22a009677c95">
    <w:name w:val="Table NoRule 4_b1c32481-a4ac-4e5c-bc9a-22a009677c95"/>
    <w:basedOn w:val="TableNoRule3ca1a74da-6bce-41a4-a13d-24902b94e79f"/>
    <w:uiPriority w:val="99"/>
    <w:tblPr>
      <w:tblInd w:w="1440" w:type="dxa"/>
    </w:tblPr>
    <w:tcPr>
      <w:shd w:val="clear" w:color="auto" w:fill="auto"/>
    </w:tcPr>
  </w:style>
  <w:style w:type="table" w:customStyle="1" w:styleId="TableNoRule5ec8b125c-2941-48f4-899d-e6446eed6857">
    <w:name w:val="Table NoRule 5_ec8b125c-2941-48f4-899d-e6446eed6857"/>
    <w:basedOn w:val="TableNoRule4b1c32481-a4ac-4e5c-bc9a-22a009677c95"/>
    <w:uiPriority w:val="99"/>
    <w:tblPr>
      <w:tblInd w:w="1915" w:type="dxa"/>
    </w:tblPr>
    <w:tcPr>
      <w:shd w:val="clear" w:color="auto" w:fill="auto"/>
    </w:tcPr>
  </w:style>
  <w:style w:type="table" w:customStyle="1" w:styleId="TableNoRule6bb91a1d0-d662-41e8-9895-48888eb3a4ae">
    <w:name w:val="Table NoRule 6_bb91a1d0-d662-41e8-9895-48888eb3a4ae"/>
    <w:basedOn w:val="TableNoRule5ec8b125c-2941-48f4-899d-e6446eed6857"/>
    <w:uiPriority w:val="99"/>
    <w:tblPr>
      <w:tblInd w:w="2390" w:type="dxa"/>
    </w:tblPr>
    <w:tcPr>
      <w:shd w:val="clear" w:color="auto" w:fill="auto"/>
    </w:tcPr>
  </w:style>
  <w:style w:type="table" w:customStyle="1" w:styleId="TableNoRule7">
    <w:name w:val="Table NoRule 7"/>
    <w:basedOn w:val="TableNoRule6bb91a1d0-d662-41e8-9895-48888eb3a4ae"/>
    <w:uiPriority w:val="99"/>
    <w:tblPr>
      <w:tblInd w:w="2880" w:type="dxa"/>
    </w:tblPr>
    <w:tcPr>
      <w:shd w:val="clear" w:color="auto" w:fill="auto"/>
    </w:tcPr>
  </w:style>
  <w:style w:type="table" w:customStyle="1" w:styleId="NormalTable2dcf57c0-f908-4121-afb4-2869fb5678db">
    <w:name w:val="Normal Table_2dcf57c0-f908-4121-afb4-2869fb5678db"/>
    <w:uiPriority w:val="99"/>
    <w:semiHidden/>
    <w:unhideWhenUsed/>
    <w:tblPr>
      <w:tblInd w:w="0" w:type="dxa"/>
      <w:tblCellMar>
        <w:top w:w="0" w:type="dxa"/>
        <w:left w:w="108" w:type="dxa"/>
        <w:bottom w:w="0" w:type="dxa"/>
        <w:right w:w="108" w:type="dxa"/>
      </w:tblCellMar>
    </w:tblPr>
  </w:style>
  <w:style w:type="table" w:customStyle="1" w:styleId="TableNoRule1f89b2b45-489d-44b4-867f-b00c590d9198">
    <w:name w:val="Table NoRule 1_f89b2b45-489d-44b4-867f-b00c590d9198"/>
    <w:basedOn w:val="NormalTable2dcf57c0-f908-4121-afb4-2869fb5678db"/>
    <w:uiPriority w:val="99"/>
    <w:pPr>
      <w:spacing w:before="0" w:after="0"/>
      <w:jc w:val="left"/>
    </w:pPr>
    <w:tblPr>
      <w:tblCellMar>
        <w:left w:w="0" w:type="dxa"/>
        <w:right w:w="0" w:type="dxa"/>
      </w:tblCellMar>
    </w:tblPr>
    <w:tcPr>
      <w:shd w:val="clear" w:color="auto" w:fill="auto"/>
    </w:tcPr>
  </w:style>
  <w:style w:type="table" w:customStyle="1" w:styleId="TableNoRule2d16352a0-fbf9-4fd7-a3cf-c3aa8268a26a">
    <w:name w:val="Table NoRule 2_d16352a0-fbf9-4fd7-a3cf-c3aa8268a26a"/>
    <w:basedOn w:val="TableNoRule1f89b2b45-489d-44b4-867f-b00c590d9198"/>
    <w:uiPriority w:val="99"/>
    <w:tblPr>
      <w:tblInd w:w="475" w:type="dxa"/>
    </w:tblPr>
    <w:tcPr>
      <w:shd w:val="clear" w:color="auto" w:fill="auto"/>
    </w:tcPr>
  </w:style>
  <w:style w:type="table" w:customStyle="1" w:styleId="TableNoRule368d4c032-60e4-4734-8ce3-257836c66668">
    <w:name w:val="Table NoRule 3_68d4c032-60e4-4734-8ce3-257836c66668"/>
    <w:basedOn w:val="TableNoRule2d16352a0-fbf9-4fd7-a3cf-c3aa8268a26a"/>
    <w:uiPriority w:val="99"/>
    <w:tblPr>
      <w:tblInd w:w="950" w:type="dxa"/>
    </w:tblPr>
    <w:tcPr>
      <w:shd w:val="clear" w:color="auto" w:fill="auto"/>
    </w:tcPr>
  </w:style>
  <w:style w:type="table" w:customStyle="1" w:styleId="TableNoRule46a7e493a-0c5b-47dc-8bb0-6f1a0e9da47d">
    <w:name w:val="Table NoRule 4_6a7e493a-0c5b-47dc-8bb0-6f1a0e9da47d"/>
    <w:basedOn w:val="TableNoRule368d4c032-60e4-4734-8ce3-257836c66668"/>
    <w:uiPriority w:val="99"/>
    <w:tblPr>
      <w:tblInd w:w="1440" w:type="dxa"/>
    </w:tblPr>
    <w:tcPr>
      <w:shd w:val="clear" w:color="auto" w:fill="auto"/>
    </w:tcPr>
  </w:style>
  <w:style w:type="table" w:customStyle="1" w:styleId="TableNoRule5418058aa-1283-4d46-a589-230b0bad480e">
    <w:name w:val="Table NoRule 5_418058aa-1283-4d46-a589-230b0bad480e"/>
    <w:basedOn w:val="TableNoRule46a7e493a-0c5b-47dc-8bb0-6f1a0e9da47d"/>
    <w:uiPriority w:val="99"/>
    <w:tblPr>
      <w:tblInd w:w="1915" w:type="dxa"/>
    </w:tblPr>
    <w:tcPr>
      <w:shd w:val="clear" w:color="auto" w:fill="auto"/>
    </w:tcPr>
  </w:style>
  <w:style w:type="table" w:customStyle="1" w:styleId="TableNoRule6160356cb-a65e-4f44-86f6-9ab232e3bec7">
    <w:name w:val="Table NoRule 6_160356cb-a65e-4f44-86f6-9ab232e3bec7"/>
    <w:basedOn w:val="TableNoRule5418058aa-1283-4d46-a589-230b0bad480e"/>
    <w:uiPriority w:val="99"/>
    <w:tblPr>
      <w:tblInd w:w="2390" w:type="dxa"/>
    </w:tblPr>
    <w:tcPr>
      <w:shd w:val="clear" w:color="auto" w:fill="auto"/>
    </w:tcPr>
  </w:style>
  <w:style w:type="table" w:customStyle="1" w:styleId="TableNoRule7567f938e-bb67-43d7-84cb-a264ba0c6751">
    <w:name w:val="Table NoRule 7_567f938e-bb67-43d7-84cb-a264ba0c6751"/>
    <w:basedOn w:val="TableNoRule6160356cb-a65e-4f44-86f6-9ab232e3bec7"/>
    <w:uiPriority w:val="99"/>
    <w:tblPr>
      <w:tblInd w:w="2880" w:type="dxa"/>
    </w:tblPr>
    <w:tcPr>
      <w:shd w:val="clear" w:color="auto" w:fill="auto"/>
    </w:tcPr>
  </w:style>
  <w:style w:type="table" w:customStyle="1" w:styleId="TableNoRule8">
    <w:name w:val="Table NoRule 8"/>
    <w:basedOn w:val="TableNoRule7567f938e-bb67-43d7-84cb-a264ba0c6751"/>
    <w:uiPriority w:val="99"/>
    <w:tblPr>
      <w:tblInd w:w="3355" w:type="dxa"/>
    </w:tblPr>
    <w:tcPr>
      <w:shd w:val="clear" w:color="auto" w:fill="auto"/>
    </w:tcPr>
  </w:style>
  <w:style w:type="table" w:customStyle="1" w:styleId="NormalTable7e5e2024-72d8-4d7f-bd01-a793662f2954">
    <w:name w:val="Normal Table_7e5e2024-72d8-4d7f-bd01-a793662f2954"/>
    <w:uiPriority w:val="99"/>
    <w:semiHidden/>
    <w:unhideWhenUsed/>
    <w:tblPr>
      <w:tblInd w:w="0" w:type="dxa"/>
      <w:tblCellMar>
        <w:top w:w="0" w:type="dxa"/>
        <w:left w:w="108" w:type="dxa"/>
        <w:bottom w:w="0" w:type="dxa"/>
        <w:right w:w="108" w:type="dxa"/>
      </w:tblCellMar>
    </w:tblPr>
  </w:style>
  <w:style w:type="table" w:customStyle="1" w:styleId="TableNoRule16798a01c-66c4-4be2-84f0-d9d2fe82b8a0">
    <w:name w:val="Table NoRule 1_6798a01c-66c4-4be2-84f0-d9d2fe82b8a0"/>
    <w:basedOn w:val="NormalTable7e5e2024-72d8-4d7f-bd01-a793662f2954"/>
    <w:uiPriority w:val="99"/>
    <w:pPr>
      <w:spacing w:before="0" w:after="0"/>
      <w:jc w:val="left"/>
    </w:pPr>
    <w:tblPr>
      <w:tblCellMar>
        <w:left w:w="0" w:type="dxa"/>
        <w:right w:w="0" w:type="dxa"/>
      </w:tblCellMar>
    </w:tblPr>
    <w:tcPr>
      <w:shd w:val="clear" w:color="auto" w:fill="auto"/>
    </w:tcPr>
  </w:style>
  <w:style w:type="table" w:customStyle="1" w:styleId="TableNoRule2a0515a8a-26ba-42d0-a4a4-4e739c1a72cc">
    <w:name w:val="Table NoRule 2_a0515a8a-26ba-42d0-a4a4-4e739c1a72cc"/>
    <w:basedOn w:val="TableNoRule16798a01c-66c4-4be2-84f0-d9d2fe82b8a0"/>
    <w:uiPriority w:val="99"/>
    <w:tblPr>
      <w:tblInd w:w="475" w:type="dxa"/>
    </w:tblPr>
    <w:tcPr>
      <w:shd w:val="clear" w:color="auto" w:fill="auto"/>
    </w:tcPr>
  </w:style>
  <w:style w:type="table" w:customStyle="1" w:styleId="TableNoRule3d173947e-0782-4b74-827c-d174a3b2be30">
    <w:name w:val="Table NoRule 3_d173947e-0782-4b74-827c-d174a3b2be30"/>
    <w:basedOn w:val="TableNoRule2a0515a8a-26ba-42d0-a4a4-4e739c1a72cc"/>
    <w:uiPriority w:val="99"/>
    <w:tblPr>
      <w:tblInd w:w="950" w:type="dxa"/>
    </w:tblPr>
    <w:tcPr>
      <w:shd w:val="clear" w:color="auto" w:fill="auto"/>
    </w:tcPr>
  </w:style>
  <w:style w:type="table" w:customStyle="1" w:styleId="TableNoRule4289f722a-4421-452a-a582-a32f2ac1b579">
    <w:name w:val="Table NoRule 4_289f722a-4421-452a-a582-a32f2ac1b579"/>
    <w:basedOn w:val="TableNoRule3d173947e-0782-4b74-827c-d174a3b2be30"/>
    <w:uiPriority w:val="99"/>
    <w:tblPr>
      <w:tblInd w:w="1440" w:type="dxa"/>
    </w:tblPr>
    <w:tcPr>
      <w:shd w:val="clear" w:color="auto" w:fill="auto"/>
    </w:tcPr>
  </w:style>
  <w:style w:type="table" w:customStyle="1" w:styleId="TableNoRule56d30fe39-3726-4402-b716-7befcfeb09ab">
    <w:name w:val="Table NoRule 5_6d30fe39-3726-4402-b716-7befcfeb09ab"/>
    <w:basedOn w:val="TableNoRule4289f722a-4421-452a-a582-a32f2ac1b579"/>
    <w:uiPriority w:val="99"/>
    <w:tblPr>
      <w:tblInd w:w="1915" w:type="dxa"/>
    </w:tblPr>
    <w:tcPr>
      <w:shd w:val="clear" w:color="auto" w:fill="auto"/>
    </w:tcPr>
  </w:style>
  <w:style w:type="table" w:customStyle="1" w:styleId="TableNoRule63cd23bf1-1817-4d95-a749-bf7867c02d5a">
    <w:name w:val="Table NoRule 6_3cd23bf1-1817-4d95-a749-bf7867c02d5a"/>
    <w:basedOn w:val="TableNoRule56d30fe39-3726-4402-b716-7befcfeb09ab"/>
    <w:uiPriority w:val="99"/>
    <w:tblPr>
      <w:tblInd w:w="2390" w:type="dxa"/>
    </w:tblPr>
    <w:tcPr>
      <w:shd w:val="clear" w:color="auto" w:fill="auto"/>
    </w:tcPr>
  </w:style>
  <w:style w:type="table" w:customStyle="1" w:styleId="TableNoRule7c987bb12-39f8-4ec5-ae61-6e9abe120631">
    <w:name w:val="Table NoRule 7_c987bb12-39f8-4ec5-ae61-6e9abe120631"/>
    <w:basedOn w:val="TableNoRule63cd23bf1-1817-4d95-a749-bf7867c02d5a"/>
    <w:uiPriority w:val="99"/>
    <w:tblPr>
      <w:tblInd w:w="2880" w:type="dxa"/>
    </w:tblPr>
    <w:tcPr>
      <w:shd w:val="clear" w:color="auto" w:fill="auto"/>
    </w:tcPr>
  </w:style>
  <w:style w:type="table" w:customStyle="1" w:styleId="TableNoRule8ad2452bb-9bb7-4b1e-8b8f-a6eef83d936a">
    <w:name w:val="Table NoRule 8_ad2452bb-9bb7-4b1e-8b8f-a6eef83d936a"/>
    <w:basedOn w:val="TableNoRule7c987bb12-39f8-4ec5-ae61-6e9abe120631"/>
    <w:uiPriority w:val="99"/>
    <w:tblPr>
      <w:tblInd w:w="3355" w:type="dxa"/>
    </w:tblPr>
    <w:tcPr>
      <w:shd w:val="clear" w:color="auto" w:fill="auto"/>
    </w:tcPr>
  </w:style>
  <w:style w:type="table" w:customStyle="1" w:styleId="TableNoRule9">
    <w:name w:val="Table NoRule 9"/>
    <w:basedOn w:val="TableNoRule8ad2452bb-9bb7-4b1e-8b8f-a6eef83d936a"/>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621ae1bf-ce95-4f32-96c2-75b310a1a641">
    <w:name w:val="Normal Table_621ae1bf-ce95-4f32-96c2-75b310a1a641"/>
    <w:uiPriority w:val="99"/>
    <w:semiHidden/>
    <w:unhideWhenUsed/>
    <w:tblPr>
      <w:tblInd w:w="0" w:type="dxa"/>
      <w:tblCellMar>
        <w:top w:w="0" w:type="dxa"/>
        <w:left w:w="108" w:type="dxa"/>
        <w:bottom w:w="0" w:type="dxa"/>
        <w:right w:w="108" w:type="dxa"/>
      </w:tblCellMar>
    </w:tblPr>
  </w:style>
  <w:style w:type="table" w:customStyle="1" w:styleId="Table1b1d21c9c-5984-4a3e-a159-610d2c1a52ce">
    <w:name w:val="Table 1_b1d21c9c-5984-4a3e-a159-610d2c1a52ce"/>
    <w:basedOn w:val="NormalTable621ae1bf-ce95-4f32-96c2-75b310a1a64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Jones</dc:creator>
  <cp:lastModifiedBy>Walter Jones</cp:lastModifiedBy>
  <cp:revision>2</cp:revision>
  <dcterms:created xsi:type="dcterms:W3CDTF">2022-08-21T17:04:00Z</dcterms:created>
  <dcterms:modified xsi:type="dcterms:W3CDTF">2022-08-21T17:04:00Z</dcterms:modified>
</cp:coreProperties>
</file>